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B0B9" w14:textId="77777777" w:rsidR="00DB1A0A" w:rsidRDefault="00DB1A0A" w:rsidP="00DF76BD">
      <w:pPr>
        <w:rPr>
          <w:lang w:val="el-GR"/>
        </w:rPr>
      </w:pPr>
    </w:p>
    <w:p w14:paraId="07CD4B10" w14:textId="77777777" w:rsidR="00DF76BD" w:rsidRDefault="00DF76BD" w:rsidP="00DF76BD">
      <w:pPr>
        <w:rPr>
          <w:lang w:val="el-GR"/>
        </w:rPr>
      </w:pPr>
    </w:p>
    <w:p w14:paraId="54E9C8C2" w14:textId="77777777" w:rsidR="00DF76BD" w:rsidRDefault="00DF76BD" w:rsidP="00DF76BD">
      <w:pPr>
        <w:rPr>
          <w:lang w:val="el-GR"/>
        </w:rPr>
      </w:pPr>
    </w:p>
    <w:p w14:paraId="3192DD3A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/>
          <w:szCs w:val="22"/>
          <w:lang w:val="el-GR"/>
        </w:rPr>
      </w:pPr>
      <w:bookmarkStart w:id="0" w:name="_Hlk164244777"/>
      <w:bookmarkStart w:id="1" w:name="_Hlk168045505"/>
      <w:bookmarkStart w:id="2" w:name="_Hlk162353432"/>
    </w:p>
    <w:p w14:paraId="6A3DD302" w14:textId="77777777" w:rsidR="00DF76BD" w:rsidRPr="00DF76BD" w:rsidRDefault="00DF76BD" w:rsidP="00DF76BD">
      <w:pPr>
        <w:numPr>
          <w:ilvl w:val="0"/>
          <w:numId w:val="20"/>
        </w:numPr>
        <w:contextualSpacing/>
        <w:jc w:val="both"/>
        <w:rPr>
          <w:rFonts w:ascii="Calibri" w:hAnsi="Calibri" w:cs="Calibri"/>
          <w:b/>
          <w:bCs/>
          <w:lang w:val="el-GR"/>
        </w:rPr>
      </w:pPr>
      <w:bookmarkStart w:id="3" w:name="_Hlk166149913"/>
      <w:bookmarkStart w:id="4" w:name="_Hlk166150855"/>
      <w:bookmarkEnd w:id="0"/>
      <w:bookmarkEnd w:id="1"/>
      <w:r w:rsidRPr="00DF76BD">
        <w:rPr>
          <w:rFonts w:ascii="Calibri" w:hAnsi="Calibri" w:cs="Calibri"/>
          <w:b/>
          <w:bCs/>
          <w:lang w:val="el-GR"/>
        </w:rPr>
        <w:t xml:space="preserve">Επικύρωση Πρακτικών </w:t>
      </w:r>
      <w:proofErr w:type="spellStart"/>
      <w:r w:rsidRPr="00DF76BD">
        <w:rPr>
          <w:rFonts w:ascii="Calibri" w:hAnsi="Calibri" w:cs="Calibri"/>
          <w:b/>
          <w:bCs/>
          <w:lang w:val="el-GR"/>
        </w:rPr>
        <w:t>αρ</w:t>
      </w:r>
      <w:proofErr w:type="spellEnd"/>
      <w:r w:rsidRPr="00DF76BD">
        <w:rPr>
          <w:rFonts w:ascii="Calibri" w:hAnsi="Calibri" w:cs="Calibri"/>
          <w:b/>
          <w:bCs/>
          <w:lang w:val="el-GR"/>
        </w:rPr>
        <w:t>. 306, 307, 308.</w:t>
      </w:r>
    </w:p>
    <w:p w14:paraId="60D4E4DE" w14:textId="77777777" w:rsidR="00DF76BD" w:rsidRPr="00DF76BD" w:rsidRDefault="00DF76BD" w:rsidP="00DF76BD">
      <w:pPr>
        <w:jc w:val="both"/>
        <w:rPr>
          <w:rFonts w:ascii="Calibri" w:hAnsi="Calibri" w:cs="Calibri"/>
          <w:b/>
          <w:bCs/>
          <w:lang w:val="el-GR"/>
        </w:rPr>
      </w:pPr>
    </w:p>
    <w:p w14:paraId="625CFD20" w14:textId="77777777" w:rsidR="00DF76BD" w:rsidRPr="00DF76BD" w:rsidRDefault="00DF76BD" w:rsidP="00DF76BD">
      <w:pPr>
        <w:jc w:val="both"/>
        <w:rPr>
          <w:rFonts w:ascii="Calibri" w:hAnsi="Calibri" w:cs="Calibri"/>
          <w:b/>
          <w:bCs/>
          <w:lang w:val="el-GR"/>
        </w:rPr>
      </w:pPr>
      <w:r w:rsidRPr="00DF76BD">
        <w:rPr>
          <w:rFonts w:ascii="Calibri" w:hAnsi="Calibri" w:cs="Calibri"/>
          <w:lang w:val="el-GR"/>
        </w:rPr>
        <w:t xml:space="preserve">Η Επιτροπή επικυρώνει ομόφωνα τα πιο πάνω πρακτικά. </w:t>
      </w:r>
      <w:r w:rsidRPr="00DF76BD">
        <w:rPr>
          <w:rFonts w:ascii="Calibri" w:hAnsi="Calibri" w:cs="Calibri"/>
          <w:b/>
          <w:bCs/>
          <w:lang w:val="el-GR"/>
        </w:rPr>
        <w:t xml:space="preserve"> </w:t>
      </w:r>
      <w:bookmarkEnd w:id="3"/>
    </w:p>
    <w:p w14:paraId="2467A4B8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F80947B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6ED7A48C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634FB049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13940008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6D999A1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D09DF3B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7F68AAD2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65D2BFB8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77C69B4F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65E9311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52461C53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28897C0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C4C79A4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76F74D88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6A93FEB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A86E96D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7A60D4D1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39086AA8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850F561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2BD12338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30779A3C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5930645A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52429797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39670BE6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36516224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A52C30C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6CAFDAB6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55957D20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1D086090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585639B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92736E3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A06D5E4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C35FB4A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6C94622E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0D808D15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E16F7B8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7EAA2E82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0BDD134" w14:textId="77777777" w:rsidR="00DF76BD" w:rsidRDefault="00DF76BD" w:rsidP="00DF76BD">
      <w:pPr>
        <w:jc w:val="both"/>
        <w:rPr>
          <w:rFonts w:ascii="Calibri" w:hAnsi="Calibri" w:cs="Calibri"/>
          <w:lang w:val="el-GR"/>
        </w:rPr>
      </w:pPr>
    </w:p>
    <w:p w14:paraId="46E78121" w14:textId="77777777" w:rsidR="00DF76BD" w:rsidRPr="00DF76BD" w:rsidRDefault="00DF76BD" w:rsidP="00DF76BD">
      <w:pPr>
        <w:jc w:val="both"/>
        <w:rPr>
          <w:rFonts w:ascii="Calibri" w:hAnsi="Calibri" w:cs="Calibri"/>
          <w:lang w:val="el-GR"/>
        </w:rPr>
      </w:pPr>
    </w:p>
    <w:bookmarkEnd w:id="4"/>
    <w:p w14:paraId="3726F67E" w14:textId="77777777" w:rsidR="00DF76BD" w:rsidRPr="00DF76BD" w:rsidRDefault="00DF76BD" w:rsidP="00DF76BD">
      <w:pPr>
        <w:spacing w:line="240" w:lineRule="auto"/>
        <w:ind w:left="7200"/>
        <w:jc w:val="both"/>
        <w:rPr>
          <w:rFonts w:ascii="Arial" w:eastAsia="PMingLiU" w:hAnsi="Arial" w:cs="Arial"/>
          <w:color w:val="FF0000"/>
          <w:szCs w:val="22"/>
          <w:lang w:val="el-GR" w:eastAsia="zh-TW"/>
        </w:rPr>
      </w:pPr>
    </w:p>
    <w:bookmarkEnd w:id="2"/>
    <w:p w14:paraId="6CCB1CD5" w14:textId="77777777" w:rsidR="00DF76BD" w:rsidRPr="00DF76BD" w:rsidRDefault="00DF76BD" w:rsidP="00DF76BD">
      <w:pPr>
        <w:numPr>
          <w:ilvl w:val="0"/>
          <w:numId w:val="20"/>
        </w:numPr>
        <w:contextualSpacing/>
        <w:rPr>
          <w:rFonts w:asciiTheme="minorHAnsi" w:hAnsiTheme="minorHAnsi" w:cstheme="minorHAnsi"/>
          <w:b/>
          <w:szCs w:val="22"/>
          <w:lang w:val="el-GR"/>
        </w:rPr>
      </w:pPr>
      <w:r w:rsidRPr="00DF76BD">
        <w:rPr>
          <w:rFonts w:asciiTheme="minorHAnsi" w:hAnsiTheme="minorHAnsi" w:cstheme="minorHAnsi"/>
          <w:b/>
          <w:szCs w:val="22"/>
          <w:lang w:val="el-GR"/>
        </w:rPr>
        <w:lastRenderedPageBreak/>
        <w:t xml:space="preserve">Η Επιτροπή ενημερώνεται για τους όρους  που ετοιμάστηκαν για τη στέγαση των υπηρεσιών του Δήμου Λάρνακας στο χώρο του Παλαιού Νοσοκομείου Λάρνακας. </w:t>
      </w:r>
      <w:proofErr w:type="spellStart"/>
      <w:r w:rsidRPr="00DF76BD">
        <w:rPr>
          <w:rFonts w:asciiTheme="minorHAnsi" w:hAnsiTheme="minorHAnsi" w:cstheme="minorHAnsi"/>
          <w:b/>
          <w:szCs w:val="22"/>
          <w:lang w:val="el-GR"/>
        </w:rPr>
        <w:t>Αρ</w:t>
      </w:r>
      <w:proofErr w:type="spellEnd"/>
      <w:r w:rsidRPr="00DF76BD">
        <w:rPr>
          <w:rFonts w:asciiTheme="minorHAnsi" w:hAnsiTheme="minorHAnsi" w:cstheme="minorHAnsi"/>
          <w:b/>
          <w:szCs w:val="22"/>
          <w:lang w:val="el-GR"/>
        </w:rPr>
        <w:t xml:space="preserve">. </w:t>
      </w:r>
      <w:proofErr w:type="spellStart"/>
      <w:r w:rsidRPr="00DF76BD">
        <w:rPr>
          <w:rFonts w:asciiTheme="minorHAnsi" w:hAnsiTheme="minorHAnsi" w:cstheme="minorHAnsi"/>
          <w:b/>
          <w:szCs w:val="22"/>
          <w:lang w:val="el-GR"/>
        </w:rPr>
        <w:t>διαγ</w:t>
      </w:r>
      <w:proofErr w:type="spellEnd"/>
      <w:r w:rsidRPr="00DF76BD">
        <w:rPr>
          <w:rFonts w:asciiTheme="minorHAnsi" w:hAnsiTheme="minorHAnsi" w:cstheme="minorHAnsi"/>
          <w:b/>
          <w:szCs w:val="22"/>
          <w:lang w:val="el-GR"/>
        </w:rPr>
        <w:t>. 56/2024.</w:t>
      </w:r>
    </w:p>
    <w:p w14:paraId="471E0825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Cs/>
          <w:szCs w:val="22"/>
          <w:lang w:val="el-GR"/>
        </w:rPr>
      </w:pPr>
    </w:p>
    <w:p w14:paraId="662B5B84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Cs/>
          <w:szCs w:val="22"/>
          <w:lang w:val="el-GR"/>
        </w:rPr>
      </w:pPr>
      <w:r w:rsidRPr="00DF76BD">
        <w:rPr>
          <w:rFonts w:asciiTheme="minorHAnsi" w:hAnsiTheme="minorHAnsi" w:cstheme="minorHAnsi"/>
          <w:bCs/>
          <w:szCs w:val="22"/>
          <w:lang w:val="el-GR"/>
        </w:rPr>
        <w:t xml:space="preserve">Η Επιτροπή ενημερώνεται για τους όρους  που ετοιμάστηκαν για τη στέγαση των υπηρεσιών του Δήμου Λάρνακας στο χώρο του Παλαιού Νοσοκομείου Λάρνακας. </w:t>
      </w:r>
      <w:proofErr w:type="spellStart"/>
      <w:r w:rsidRPr="00DF76BD">
        <w:rPr>
          <w:rFonts w:asciiTheme="minorHAnsi" w:hAnsiTheme="minorHAnsi" w:cstheme="minorHAnsi"/>
          <w:bCs/>
          <w:szCs w:val="22"/>
          <w:lang w:val="el-GR"/>
        </w:rPr>
        <w:t>Αρ</w:t>
      </w:r>
      <w:proofErr w:type="spellEnd"/>
      <w:r w:rsidRPr="00DF76BD">
        <w:rPr>
          <w:rFonts w:asciiTheme="minorHAnsi" w:hAnsiTheme="minorHAnsi" w:cstheme="minorHAnsi"/>
          <w:bCs/>
          <w:szCs w:val="22"/>
          <w:lang w:val="el-GR"/>
        </w:rPr>
        <w:t xml:space="preserve">. </w:t>
      </w:r>
      <w:proofErr w:type="spellStart"/>
      <w:r w:rsidRPr="00DF76BD">
        <w:rPr>
          <w:rFonts w:asciiTheme="minorHAnsi" w:hAnsiTheme="minorHAnsi" w:cstheme="minorHAnsi"/>
          <w:bCs/>
          <w:szCs w:val="22"/>
          <w:lang w:val="el-GR"/>
        </w:rPr>
        <w:t>διαγ</w:t>
      </w:r>
      <w:proofErr w:type="spellEnd"/>
      <w:r w:rsidRPr="00DF76BD">
        <w:rPr>
          <w:rFonts w:asciiTheme="minorHAnsi" w:hAnsiTheme="minorHAnsi" w:cstheme="minorHAnsi"/>
          <w:bCs/>
          <w:szCs w:val="22"/>
          <w:lang w:val="el-GR"/>
        </w:rPr>
        <w:t>. 56/2024.</w:t>
      </w:r>
    </w:p>
    <w:p w14:paraId="2862BC42" w14:textId="77777777" w:rsidR="00DF76BD" w:rsidRPr="00DF76BD" w:rsidRDefault="00DF76BD" w:rsidP="00DF76BD">
      <w:pPr>
        <w:rPr>
          <w:rFonts w:asciiTheme="minorHAnsi" w:hAnsiTheme="minorHAnsi" w:cstheme="minorHAnsi"/>
          <w:b/>
          <w:szCs w:val="22"/>
          <w:lang w:val="el-GR"/>
        </w:rPr>
      </w:pPr>
    </w:p>
    <w:p w14:paraId="6EDCF9A1" w14:textId="77777777" w:rsidR="00DF76BD" w:rsidRP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  <w:r w:rsidRPr="00DF76BD">
        <w:rPr>
          <w:rFonts w:asciiTheme="minorHAnsi" w:hAnsiTheme="minorHAnsi" w:cstheme="minorHAnsi"/>
          <w:bCs/>
          <w:szCs w:val="22"/>
          <w:lang w:val="el-GR"/>
        </w:rPr>
        <w:t xml:space="preserve">Η Εκτιμώμενη Αξία του πιο πάνω διαγωνισμού υπολογίζεται στο ποσό των Επτά Εκατομμυρίων Τετρακοσίων Χιλιάδων ευρώ (€7.400.000,00) μη συμπεριλαμβανομένου του Φ.Π.Α. Το έργο θα χρηματοδοτηθεί από το Δήμο Λάρνακας.  </w:t>
      </w:r>
    </w:p>
    <w:p w14:paraId="2E618489" w14:textId="77777777" w:rsidR="00DF76BD" w:rsidRP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6E2636BC" w14:textId="77777777" w:rsidR="00DF76BD" w:rsidRP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  <w:r w:rsidRPr="00DF76BD">
        <w:rPr>
          <w:rFonts w:asciiTheme="minorHAnsi" w:hAnsiTheme="minorHAnsi" w:cstheme="minorHAnsi"/>
          <w:bCs/>
          <w:szCs w:val="22"/>
          <w:lang w:val="el-GR"/>
        </w:rPr>
        <w:t>Η Επιτροπή αφού συζητά το θέμα αποφασίζει την έγκριση των όρων του διαγωνισμού. Η προκήρυξη του διαγωνισμού θα γίνει όταν εξασφαλιστεί το πιστοποιητικό συμβατότητας από την Αρχή Δημοσίων Συμβάσεων.</w:t>
      </w:r>
    </w:p>
    <w:p w14:paraId="4B0EC8A0" w14:textId="77777777" w:rsidR="00DF76BD" w:rsidRP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62DE4F40" w14:textId="77777777" w:rsidR="00DD2048" w:rsidRPr="00EC2226" w:rsidRDefault="00DD2048" w:rsidP="00DD2048">
      <w:pPr>
        <w:rPr>
          <w:rFonts w:asciiTheme="minorHAnsi" w:hAnsiTheme="minorHAnsi" w:cstheme="minorHAnsi"/>
          <w:bCs/>
          <w:szCs w:val="22"/>
          <w:lang w:val="el-GR"/>
        </w:rPr>
      </w:pPr>
      <w:r w:rsidRPr="00EC2226">
        <w:rPr>
          <w:rFonts w:asciiTheme="minorHAnsi" w:hAnsiTheme="minorHAnsi" w:cstheme="minorHAnsi"/>
          <w:bCs/>
          <w:szCs w:val="22"/>
          <w:lang w:val="el-GR"/>
        </w:rPr>
        <w:t>Ως Επιτροπή Αξιολόγησης γίνεται εισήγηση στο Συμβούλιο Προσφορών να οριστούν οι:</w:t>
      </w:r>
    </w:p>
    <w:p w14:paraId="05933C72" w14:textId="77777777" w:rsidR="00DD2048" w:rsidRPr="00EC2226" w:rsidRDefault="00DD2048" w:rsidP="00DD2048">
      <w:pPr>
        <w:rPr>
          <w:rFonts w:asciiTheme="minorHAnsi" w:hAnsiTheme="minorHAnsi" w:cstheme="minorHAnsi"/>
          <w:bCs/>
          <w:szCs w:val="22"/>
          <w:lang w:val="el-GR"/>
        </w:rPr>
      </w:pPr>
    </w:p>
    <w:p w14:paraId="14FDDF7B" w14:textId="77777777" w:rsidR="00487991" w:rsidRPr="00487991" w:rsidRDefault="00DD2048" w:rsidP="00487991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EC2226">
        <w:rPr>
          <w:rFonts w:asciiTheme="minorHAnsi" w:hAnsiTheme="minorHAnsi" w:cstheme="minorHAnsi"/>
          <w:bCs/>
          <w:szCs w:val="22"/>
          <w:lang w:val="el-GR"/>
        </w:rPr>
        <w:t>-</w:t>
      </w:r>
      <w:r w:rsidRPr="00EC2226">
        <w:rPr>
          <w:rFonts w:asciiTheme="minorHAnsi" w:hAnsiTheme="minorHAnsi" w:cstheme="minorHAnsi"/>
          <w:bCs/>
          <w:szCs w:val="22"/>
          <w:lang w:val="el-GR"/>
        </w:rPr>
        <w:tab/>
      </w:r>
      <w:r w:rsidR="00487991">
        <w:rPr>
          <w:rFonts w:asciiTheme="minorHAnsi" w:hAnsiTheme="minorHAnsi" w:cstheme="minorHAnsi"/>
          <w:szCs w:val="22"/>
        </w:rPr>
        <w:t>XXXXXXXXXXXXXXXXXXXXXXX</w:t>
      </w:r>
    </w:p>
    <w:p w14:paraId="4DA68621" w14:textId="77777777" w:rsidR="00487991" w:rsidRPr="00487991" w:rsidRDefault="00487991" w:rsidP="00487991">
      <w:pPr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bCs/>
          <w:szCs w:val="22"/>
          <w:lang w:val="el-GR"/>
        </w:rPr>
        <w:t xml:space="preserve">- </w:t>
      </w:r>
      <w:r>
        <w:rPr>
          <w:rFonts w:asciiTheme="minorHAnsi" w:hAnsiTheme="minorHAnsi" w:cstheme="minorHAnsi"/>
          <w:bCs/>
          <w:szCs w:val="22"/>
          <w:lang w:val="el-GR"/>
        </w:rPr>
        <w:tab/>
      </w:r>
      <w:r>
        <w:rPr>
          <w:rFonts w:asciiTheme="minorHAnsi" w:hAnsiTheme="minorHAnsi" w:cstheme="minorHAnsi"/>
          <w:szCs w:val="22"/>
        </w:rPr>
        <w:t>XXXXXXXXXXXXXXXXXXXXXXX</w:t>
      </w:r>
    </w:p>
    <w:p w14:paraId="1F057561" w14:textId="77777777" w:rsidR="00487991" w:rsidRPr="00AA45B0" w:rsidRDefault="00487991" w:rsidP="0048799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  <w:lang w:val="el-GR"/>
        </w:rPr>
        <w:t>-</w:t>
      </w:r>
      <w:r>
        <w:rPr>
          <w:rFonts w:asciiTheme="minorHAnsi" w:hAnsiTheme="minorHAnsi" w:cstheme="minorHAnsi"/>
          <w:bCs/>
          <w:szCs w:val="22"/>
          <w:lang w:val="el-GR"/>
        </w:rPr>
        <w:tab/>
      </w:r>
      <w:r>
        <w:rPr>
          <w:rFonts w:asciiTheme="minorHAnsi" w:hAnsiTheme="minorHAnsi" w:cstheme="minorHAnsi"/>
          <w:szCs w:val="22"/>
        </w:rPr>
        <w:t>XXXXXXXXXXXXXXXXXXXXXXX</w:t>
      </w:r>
    </w:p>
    <w:p w14:paraId="15C16012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30AFAA6D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068570E0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0E3DE1B4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1964D4BA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0E3D9727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0074A3F7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6FD7D457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254B1BE9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71C3B5DD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2C374066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61D2CB59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3A33FB5D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4556697D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376D0D8C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3302C1A7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2AEEBFBB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7EB4EFBA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6961418A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7D890AAC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6C00C0AA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484D45FB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435EBA3C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4A20AA5A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05AEF9A6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78216395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09395EB3" w14:textId="77777777" w:rsid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56F60EDF" w14:textId="77777777" w:rsidR="00DF76BD" w:rsidRPr="00DF76BD" w:rsidRDefault="00DF76BD" w:rsidP="00DF76BD">
      <w:pPr>
        <w:rPr>
          <w:rFonts w:asciiTheme="minorHAnsi" w:hAnsiTheme="minorHAnsi" w:cstheme="minorHAnsi"/>
          <w:bCs/>
          <w:szCs w:val="22"/>
          <w:lang w:val="el-GR"/>
        </w:rPr>
      </w:pPr>
    </w:p>
    <w:p w14:paraId="315CF6D9" w14:textId="77777777" w:rsidR="00DF76BD" w:rsidRPr="00DF76BD" w:rsidRDefault="00DF76BD" w:rsidP="00DF76BD">
      <w:pPr>
        <w:numPr>
          <w:ilvl w:val="0"/>
          <w:numId w:val="12"/>
        </w:numPr>
        <w:contextualSpacing/>
        <w:rPr>
          <w:rFonts w:asciiTheme="minorHAnsi" w:hAnsiTheme="minorHAnsi" w:cstheme="minorHAnsi"/>
          <w:b/>
          <w:szCs w:val="22"/>
          <w:lang w:val="el-GR"/>
        </w:rPr>
      </w:pPr>
      <w:r w:rsidRPr="00DF76BD">
        <w:rPr>
          <w:rFonts w:asciiTheme="minorHAnsi" w:hAnsiTheme="minorHAnsi" w:cstheme="minorHAnsi"/>
          <w:b/>
          <w:szCs w:val="22"/>
          <w:lang w:val="el-GR"/>
        </w:rPr>
        <w:t xml:space="preserve">Όροι ζήτησης προσφορών για την παροχή υπηρεσιών </w:t>
      </w:r>
      <w:proofErr w:type="spellStart"/>
      <w:r w:rsidRPr="00DF76BD">
        <w:rPr>
          <w:rFonts w:asciiTheme="minorHAnsi" w:hAnsiTheme="minorHAnsi" w:cstheme="minorHAnsi"/>
          <w:b/>
          <w:szCs w:val="22"/>
          <w:lang w:val="el-GR"/>
        </w:rPr>
        <w:t>περιπολικής</w:t>
      </w:r>
      <w:proofErr w:type="spellEnd"/>
      <w:r w:rsidRPr="00DF76BD">
        <w:rPr>
          <w:rFonts w:asciiTheme="minorHAnsi" w:hAnsiTheme="minorHAnsi" w:cstheme="minorHAnsi"/>
          <w:b/>
          <w:szCs w:val="22"/>
          <w:lang w:val="el-GR"/>
        </w:rPr>
        <w:t xml:space="preserve"> φύλαξης σε επιλεγμένα κτήρια και χώρους του νέου ενοποιημένου Δήμου για περίοδο ενός έτους με δικαίωμα του Δήμου για ανανέωση για ακόμη ένα έτος (</w:t>
      </w:r>
      <w:proofErr w:type="spellStart"/>
      <w:r w:rsidRPr="00DF76BD">
        <w:rPr>
          <w:rFonts w:asciiTheme="minorHAnsi" w:hAnsiTheme="minorHAnsi" w:cstheme="minorHAnsi"/>
          <w:b/>
          <w:szCs w:val="22"/>
          <w:lang w:val="el-GR"/>
        </w:rPr>
        <w:t>αρ</w:t>
      </w:r>
      <w:proofErr w:type="spellEnd"/>
      <w:r w:rsidRPr="00DF76BD">
        <w:rPr>
          <w:rFonts w:asciiTheme="minorHAnsi" w:hAnsiTheme="minorHAnsi" w:cstheme="minorHAnsi"/>
          <w:b/>
          <w:szCs w:val="22"/>
          <w:lang w:val="el-GR"/>
        </w:rPr>
        <w:t xml:space="preserve">. </w:t>
      </w:r>
      <w:proofErr w:type="spellStart"/>
      <w:r w:rsidRPr="00DF76BD">
        <w:rPr>
          <w:rFonts w:asciiTheme="minorHAnsi" w:hAnsiTheme="minorHAnsi" w:cstheme="minorHAnsi"/>
          <w:b/>
          <w:szCs w:val="22"/>
          <w:lang w:val="el-GR"/>
        </w:rPr>
        <w:t>διαγ</w:t>
      </w:r>
      <w:proofErr w:type="spellEnd"/>
      <w:r w:rsidRPr="00DF76BD">
        <w:rPr>
          <w:rFonts w:asciiTheme="minorHAnsi" w:hAnsiTheme="minorHAnsi" w:cstheme="minorHAnsi"/>
          <w:b/>
          <w:szCs w:val="22"/>
          <w:lang w:val="el-GR"/>
        </w:rPr>
        <w:t>. 49/2024). Ορισμός Επιτροπής Αξιολόγησης .</w:t>
      </w:r>
    </w:p>
    <w:p w14:paraId="5676C057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/>
          <w:szCs w:val="22"/>
          <w:lang w:val="el-GR"/>
        </w:rPr>
      </w:pPr>
    </w:p>
    <w:p w14:paraId="24BDBDD2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Cs/>
          <w:szCs w:val="22"/>
          <w:lang w:val="el-GR"/>
        </w:rPr>
      </w:pPr>
      <w:r w:rsidRPr="00DF76BD">
        <w:rPr>
          <w:rFonts w:asciiTheme="minorHAnsi" w:hAnsiTheme="minorHAnsi" w:cstheme="minorHAnsi"/>
          <w:bCs/>
          <w:szCs w:val="22"/>
          <w:lang w:val="el-GR"/>
        </w:rPr>
        <w:t xml:space="preserve">Η Επιτροπή ενημερώνεται τους όρους που ετοιμάστηκαν για την παροχή υπηρεσιών </w:t>
      </w:r>
      <w:proofErr w:type="spellStart"/>
      <w:r w:rsidRPr="00DF76BD">
        <w:rPr>
          <w:rFonts w:asciiTheme="minorHAnsi" w:hAnsiTheme="minorHAnsi" w:cstheme="minorHAnsi"/>
          <w:bCs/>
          <w:szCs w:val="22"/>
          <w:lang w:val="el-GR"/>
        </w:rPr>
        <w:t>περιπολικής</w:t>
      </w:r>
      <w:proofErr w:type="spellEnd"/>
      <w:r w:rsidRPr="00DF76BD">
        <w:rPr>
          <w:rFonts w:asciiTheme="minorHAnsi" w:hAnsiTheme="minorHAnsi" w:cstheme="minorHAnsi"/>
          <w:bCs/>
          <w:szCs w:val="22"/>
          <w:lang w:val="el-GR"/>
        </w:rPr>
        <w:t xml:space="preserve"> φύλαξης σε επιλεγμένα κτήρια και χώρους του νέου ενοποιημένου Δήμου για περίοδο ενός έτους με δικαίωμα του Δήμου για ανανέωση για ακόμη ένα έτος (</w:t>
      </w:r>
      <w:proofErr w:type="spellStart"/>
      <w:r w:rsidRPr="00DF76BD">
        <w:rPr>
          <w:rFonts w:asciiTheme="minorHAnsi" w:hAnsiTheme="minorHAnsi" w:cstheme="minorHAnsi"/>
          <w:bCs/>
          <w:szCs w:val="22"/>
          <w:lang w:val="el-GR"/>
        </w:rPr>
        <w:t>αρ</w:t>
      </w:r>
      <w:proofErr w:type="spellEnd"/>
      <w:r w:rsidRPr="00DF76BD">
        <w:rPr>
          <w:rFonts w:asciiTheme="minorHAnsi" w:hAnsiTheme="minorHAnsi" w:cstheme="minorHAnsi"/>
          <w:bCs/>
          <w:szCs w:val="22"/>
          <w:lang w:val="el-GR"/>
        </w:rPr>
        <w:t xml:space="preserve">. </w:t>
      </w:r>
      <w:proofErr w:type="spellStart"/>
      <w:r w:rsidRPr="00DF76BD">
        <w:rPr>
          <w:rFonts w:asciiTheme="minorHAnsi" w:hAnsiTheme="minorHAnsi" w:cstheme="minorHAnsi"/>
          <w:bCs/>
          <w:szCs w:val="22"/>
          <w:lang w:val="el-GR"/>
        </w:rPr>
        <w:t>διαγ</w:t>
      </w:r>
      <w:proofErr w:type="spellEnd"/>
      <w:r w:rsidRPr="00DF76BD">
        <w:rPr>
          <w:rFonts w:asciiTheme="minorHAnsi" w:hAnsiTheme="minorHAnsi" w:cstheme="minorHAnsi"/>
          <w:bCs/>
          <w:szCs w:val="22"/>
          <w:lang w:val="el-GR"/>
        </w:rPr>
        <w:t>. 49/2024).</w:t>
      </w:r>
    </w:p>
    <w:p w14:paraId="1E27F091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Cs/>
          <w:szCs w:val="22"/>
          <w:lang w:val="el-GR"/>
        </w:rPr>
      </w:pPr>
    </w:p>
    <w:p w14:paraId="7D44A4E4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DF76BD">
        <w:rPr>
          <w:rFonts w:asciiTheme="minorHAnsi" w:hAnsiTheme="minorHAnsi" w:cstheme="minorHAnsi"/>
          <w:szCs w:val="22"/>
          <w:lang w:val="el-GR"/>
        </w:rPr>
        <w:t xml:space="preserve">Για τον πιο πάνω διαγωνισμό έχει προβλεφθεί εκτιμώμενη αξίας σύμβασης €70.000,00 πλέον ΦΠΑ (€35.000,00 + ΦΠΑ ετησίως). </w:t>
      </w:r>
    </w:p>
    <w:p w14:paraId="4D76C433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051BEA7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DF76BD">
        <w:rPr>
          <w:rFonts w:asciiTheme="minorHAnsi" w:hAnsiTheme="minorHAnsi" w:cstheme="minorHAnsi"/>
          <w:szCs w:val="22"/>
          <w:lang w:val="el-GR"/>
        </w:rPr>
        <w:t>Η Επιτροπή αφού συζητά το θέμα αποφασίζει την έγκριση των όρων του διαγωνισμού.  Παράλληλα η Επιτροπή Προσφορών εισηγείται στο Συμβούλιο Προσφορών η Επιτροπή Αξιολόγησης να αποτελείται από τους:</w:t>
      </w:r>
    </w:p>
    <w:p w14:paraId="3AAC6E18" w14:textId="7EC99127" w:rsidR="00DF76BD" w:rsidRP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XXXXXXXXXXXXXXXXX</w:t>
      </w:r>
    </w:p>
    <w:p w14:paraId="4DDA3313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9BABA44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FE7F4D4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70D1EBF9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436EAD6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6D14C4E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E851482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1D5B391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C8D3DA2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3D80066A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7F6B1540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33FF5A5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9F842A2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743233AB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C348A01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B80E0AB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90E026F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2410DC1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7C75FABB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6643BCE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2A7F1DA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0047F17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</w:rPr>
      </w:pPr>
    </w:p>
    <w:p w14:paraId="49F42C6E" w14:textId="77777777" w:rsid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</w:p>
    <w:p w14:paraId="7B027BDA" w14:textId="77777777" w:rsid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</w:p>
    <w:p w14:paraId="72B11763" w14:textId="77777777" w:rsid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</w:p>
    <w:p w14:paraId="05BE6134" w14:textId="77777777" w:rsid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</w:p>
    <w:p w14:paraId="6A7A80C7" w14:textId="77777777" w:rsid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</w:p>
    <w:p w14:paraId="5B4A14B1" w14:textId="77777777" w:rsid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</w:p>
    <w:p w14:paraId="1DF7A370" w14:textId="77777777" w:rsidR="00AA45B0" w:rsidRP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</w:p>
    <w:p w14:paraId="6ADE900B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421D36AD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7BF8D66B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0DAECC1" w14:textId="77777777" w:rsidR="00DF76BD" w:rsidRPr="00DF76BD" w:rsidRDefault="00DF76BD" w:rsidP="00DF76BD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49B99881" w14:textId="77777777" w:rsidR="00DF76BD" w:rsidRPr="00DF76BD" w:rsidRDefault="00DF76BD" w:rsidP="00DF76BD">
      <w:pPr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b/>
          <w:szCs w:val="22"/>
          <w:lang w:val="el-GR"/>
        </w:rPr>
      </w:pPr>
      <w:r w:rsidRPr="00DF76BD">
        <w:rPr>
          <w:rFonts w:asciiTheme="minorHAnsi" w:hAnsiTheme="minorHAnsi" w:cstheme="minorHAnsi"/>
          <w:b/>
          <w:szCs w:val="22"/>
          <w:lang w:val="el-GR"/>
        </w:rPr>
        <w:t xml:space="preserve">Όροι διαγωνισμού για την προμήθεια 250000 ±20% για πλαστικά σακούλια για τις ανάγκες της Δημοτικής Υπηρεσίας για περίοδο ενός έτους με δικαίωμα στο Δήμο για ανανέωση της σύμβασης για ακόμα ένα χρόνο. Ορισμός Επιτροπής Αξιολόγησης. </w:t>
      </w:r>
    </w:p>
    <w:p w14:paraId="701C7862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/>
          <w:szCs w:val="22"/>
          <w:lang w:val="el-GR"/>
        </w:rPr>
      </w:pPr>
    </w:p>
    <w:p w14:paraId="0F433A8B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Cs/>
          <w:szCs w:val="22"/>
          <w:lang w:val="el-GR"/>
        </w:rPr>
      </w:pPr>
      <w:r w:rsidRPr="00DF76BD">
        <w:rPr>
          <w:rFonts w:asciiTheme="minorHAnsi" w:hAnsiTheme="minorHAnsi" w:cstheme="minorHAnsi"/>
          <w:bCs/>
          <w:szCs w:val="22"/>
          <w:lang w:val="el-GR"/>
        </w:rPr>
        <w:t>Η Επιτροπή ενημερώνεται τους όρους που ετοιμάστηκαν για την προμήθεια 250000 ±20% για πλαστικά σακούλια για τις ανάγκες της Δημοτικής Υπηρεσίας για περίοδο ενός έτους με δικαίωμα στο Δήμο για ανανέωση της σύμβασης για ακόμα ένα χρόνο.</w:t>
      </w:r>
    </w:p>
    <w:p w14:paraId="2129B28D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Cs/>
          <w:szCs w:val="22"/>
          <w:lang w:val="el-GR"/>
        </w:rPr>
      </w:pPr>
    </w:p>
    <w:p w14:paraId="57B38CB5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DF76BD">
        <w:rPr>
          <w:rFonts w:asciiTheme="minorHAnsi" w:hAnsiTheme="minorHAnsi" w:cstheme="minorHAnsi"/>
          <w:szCs w:val="22"/>
          <w:lang w:val="el-GR"/>
        </w:rPr>
        <w:t xml:space="preserve">Για τον πιο πάνω διαγωνισμό έχει προβλεφθεί εκτιμώμενη αξίας σύμβασης </w:t>
      </w:r>
      <w:bookmarkStart w:id="5" w:name="_Hlk166848527"/>
      <w:r w:rsidRPr="00DF76BD">
        <w:rPr>
          <w:rFonts w:asciiTheme="minorHAnsi" w:hAnsiTheme="minorHAnsi" w:cstheme="minorHAnsi"/>
          <w:szCs w:val="22"/>
          <w:lang w:val="el-GR"/>
        </w:rPr>
        <w:t xml:space="preserve">€68.000,00 πλέον ΦΠΑ (€34.000,00 + ΦΠΑ ετησίως). </w:t>
      </w:r>
    </w:p>
    <w:p w14:paraId="1E29F285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4A4987F8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DF76BD">
        <w:rPr>
          <w:rFonts w:asciiTheme="minorHAnsi" w:hAnsiTheme="minorHAnsi" w:cstheme="minorHAnsi"/>
          <w:szCs w:val="22"/>
          <w:lang w:val="el-GR"/>
        </w:rPr>
        <w:t>Η Επιτροπή αφού συζητά το θέμα αποφασίζει την έγκριση των όρων του διαγωνισμού.  Παράλληλα η Επιτροπή Προσφορών εισηγείται στο Συμβούλιο Προσφορών η Επιτροπή Αξιολόγησης να αποτελείται από τους:</w:t>
      </w:r>
    </w:p>
    <w:p w14:paraId="01F22305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bookmarkEnd w:id="5"/>
    <w:p w14:paraId="72734B9C" w14:textId="6C9B415C" w:rsidR="00DF76BD" w:rsidRPr="00AA45B0" w:rsidRDefault="00AA45B0" w:rsidP="00DF76B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XXXXXXXXXXXXXXXXXXXXXXX</w:t>
      </w:r>
    </w:p>
    <w:p w14:paraId="4C289802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7A0AF8C0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EDDDC26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8959AFD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E8B97B3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3DFEB98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3FDF10C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A59A62E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8AFD7B0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95A5491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BE059E6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4223C947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3DF04716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5026865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3A119F10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A65BED3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2A8FB1D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63925CD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9F408DB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31932ED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1D821A0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00A8FE0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47AAC7DF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BDBF275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219D68B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AE6A01A" w14:textId="77777777" w:rsid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3FDD43A4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4C5C53C7" w14:textId="77777777" w:rsidR="00DF76BD" w:rsidRPr="00DF76BD" w:rsidRDefault="00DF76BD" w:rsidP="00DF76BD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D06C4F9" w14:textId="77777777" w:rsidR="00DF76BD" w:rsidRPr="00DF76BD" w:rsidRDefault="00DF76BD" w:rsidP="00DF76BD">
      <w:pPr>
        <w:numPr>
          <w:ilvl w:val="0"/>
          <w:numId w:val="12"/>
        </w:numPr>
        <w:contextualSpacing/>
        <w:rPr>
          <w:rFonts w:ascii="Calibri" w:hAnsi="Calibri"/>
          <w:b/>
          <w:bCs/>
          <w:szCs w:val="22"/>
          <w:lang w:val="el-GR"/>
        </w:rPr>
      </w:pPr>
      <w:bookmarkStart w:id="6" w:name="_Hlk166831274"/>
      <w:r w:rsidRPr="00DF76BD">
        <w:rPr>
          <w:rFonts w:ascii="Calibri" w:hAnsi="Calibri"/>
          <w:b/>
          <w:bCs/>
          <w:szCs w:val="22"/>
          <w:lang w:val="el-GR"/>
        </w:rPr>
        <w:lastRenderedPageBreak/>
        <w:t>Πρόγραμμα καλοκαιρινών δραστηριοτήτων Ειδικού Σχολείου Αγίου Σπυρίδωνα – Διαγωνισμός Αγοράς Υπηρεσιών για τις ανάγκες λειτουργίας του Προγράμματος 2024.</w:t>
      </w:r>
    </w:p>
    <w:p w14:paraId="57BF4977" w14:textId="77777777" w:rsidR="00DF76BD" w:rsidRPr="00DF76BD" w:rsidRDefault="00DF76BD" w:rsidP="00DF76BD">
      <w:pPr>
        <w:rPr>
          <w:rFonts w:ascii="Calibri" w:hAnsi="Calibri"/>
          <w:b/>
          <w:bCs/>
          <w:sz w:val="20"/>
          <w:lang w:val="el-GR"/>
        </w:rPr>
      </w:pPr>
    </w:p>
    <w:p w14:paraId="60723F3B" w14:textId="77777777" w:rsidR="00DF76BD" w:rsidRPr="00DF76BD" w:rsidRDefault="00DF76BD" w:rsidP="00DF76BD">
      <w:pPr>
        <w:jc w:val="both"/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>Η Επιτροπή ενημερώνεται για την έκθεση της Επιτροπής Αξιολόγησης σχετικά με το πρόγραμμα καλοκαιρινών δραστηριοτήτων Ειδικού Σχολείου Αγίου Σπυρίδωνα – Διαγωνισμός Αγοράς Υπηρεσιών για τις ανάγκες λειτουργίας του Προγράμματος 2024.</w:t>
      </w:r>
    </w:p>
    <w:p w14:paraId="19F0B4F2" w14:textId="77777777" w:rsidR="00DF76BD" w:rsidRPr="00DF76BD" w:rsidRDefault="00DF76BD" w:rsidP="00DF76BD">
      <w:pPr>
        <w:jc w:val="both"/>
        <w:rPr>
          <w:rFonts w:ascii="Calibri" w:hAnsi="Calibri"/>
          <w:szCs w:val="22"/>
          <w:lang w:val="el-GR"/>
        </w:rPr>
      </w:pPr>
    </w:p>
    <w:p w14:paraId="425A5AB7" w14:textId="77777777" w:rsidR="00DF76BD" w:rsidRPr="00DF76BD" w:rsidRDefault="00DF76BD" w:rsidP="00DF76BD">
      <w:pPr>
        <w:jc w:val="both"/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 xml:space="preserve">Σύμφωνα με την έκθεση υποβλήθηκαν 4 αιτήσεις για τις 6 θέσεις ειδικών εκπαιδευτών, 10 αιτήσεις για τις 13 θέσεις σχολικών βοηθών, 0 αιτήσεις για τις 3 θέσεις οδηγών σχολικών λεωφορείων και 4 αιτήσεις για τις 3 θέσεις σχολικών συνοδών λεωφορείου.  </w:t>
      </w:r>
    </w:p>
    <w:p w14:paraId="1F56FE2B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</w:p>
    <w:bookmarkEnd w:id="6"/>
    <w:p w14:paraId="6761695F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 xml:space="preserve">Η Επιτροπή ενημερώνεται για την αξιολόγηση και σημειώνει το περιεχόμενο της επικυρώνοντας τις προτάσεις της Επιτροπής Αξιολόγησης. </w:t>
      </w:r>
    </w:p>
    <w:p w14:paraId="1F1452BB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005F2234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62DE0ADF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5C928D74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06E8898C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485DEAD8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6D3B070B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29C56359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38B1C134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3CA6FBCB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0EDA2ED1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14B15259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29586B40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56AAF395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3F6C5293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16EC3921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7D20070D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44CC33FB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4DDF9427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57AE60EC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5CE7228A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68DA8721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79BED542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3CA92F03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03B6098A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70845D1C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6D5D11A9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67A00654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38FBCD56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5E256E03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091168B0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54850F56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0F81E19D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487D5CEF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4E136454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75EE52BE" w14:textId="77777777" w:rsidR="00DF76BD" w:rsidRDefault="00DF76BD" w:rsidP="00DF76BD">
      <w:pPr>
        <w:rPr>
          <w:rFonts w:ascii="Calibri" w:hAnsi="Calibri"/>
          <w:szCs w:val="22"/>
          <w:lang w:val="el-GR"/>
        </w:rPr>
      </w:pPr>
    </w:p>
    <w:p w14:paraId="7853DD15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</w:p>
    <w:p w14:paraId="69B69504" w14:textId="77777777" w:rsidR="00DF76BD" w:rsidRPr="00DF76BD" w:rsidRDefault="00DF76BD" w:rsidP="00DF76BD">
      <w:pPr>
        <w:numPr>
          <w:ilvl w:val="0"/>
          <w:numId w:val="12"/>
        </w:numPr>
        <w:rPr>
          <w:rFonts w:ascii="Calibri" w:hAnsi="Calibri"/>
          <w:b/>
          <w:bCs/>
          <w:szCs w:val="22"/>
          <w:lang w:val="el-GR"/>
        </w:rPr>
      </w:pPr>
      <w:r w:rsidRPr="00DF76BD">
        <w:rPr>
          <w:rFonts w:ascii="Calibri" w:hAnsi="Calibri"/>
          <w:b/>
          <w:bCs/>
          <w:szCs w:val="22"/>
          <w:lang w:val="el-GR"/>
        </w:rPr>
        <w:t>Όροι ζήτησης προσφορών για την παροχή υπηρεσιών για μεταφορά και διάθεση εγκαταλελειμμένων οχημάτων και άλλων αντικειμένων.</w:t>
      </w:r>
    </w:p>
    <w:p w14:paraId="1C7FA66D" w14:textId="77777777" w:rsidR="00DF76BD" w:rsidRPr="00DF76BD" w:rsidRDefault="00DF76BD" w:rsidP="00DF76BD">
      <w:pPr>
        <w:rPr>
          <w:rFonts w:ascii="Calibri" w:hAnsi="Calibri"/>
          <w:b/>
          <w:bCs/>
          <w:sz w:val="20"/>
          <w:lang w:val="el-GR"/>
        </w:rPr>
      </w:pPr>
    </w:p>
    <w:p w14:paraId="6820739E" w14:textId="77777777" w:rsidR="00DF76BD" w:rsidRPr="00DF76BD" w:rsidRDefault="00DF76BD" w:rsidP="00DF76BD">
      <w:pPr>
        <w:rPr>
          <w:rFonts w:ascii="Calibri" w:hAnsi="Calibri"/>
          <w:bCs/>
          <w:sz w:val="24"/>
          <w:szCs w:val="24"/>
          <w:lang w:val="el-GR"/>
        </w:rPr>
      </w:pPr>
      <w:r w:rsidRPr="00DF76BD">
        <w:rPr>
          <w:rFonts w:ascii="Calibri" w:hAnsi="Calibri"/>
          <w:sz w:val="24"/>
          <w:szCs w:val="24"/>
          <w:lang w:val="el-GR"/>
        </w:rPr>
        <w:t xml:space="preserve">Η Επιτροπή ενημερώνεται για τους όρους που ετοιμάστηκαν για το διαγωνισμό </w:t>
      </w:r>
      <w:r w:rsidRPr="00DF76BD">
        <w:rPr>
          <w:rFonts w:ascii="Calibri" w:hAnsi="Calibri"/>
          <w:bCs/>
          <w:sz w:val="24"/>
          <w:szCs w:val="24"/>
          <w:lang w:val="el-GR"/>
        </w:rPr>
        <w:t>για την παροχή υπηρεσιών για συλλογή, μεταφορά και διάθεση εγκαταλελειμμένων οχημάτων και άλλων αντικειμένων. Κριτήριο ανάθεσης η υψηλότερη προσφορά.</w:t>
      </w:r>
    </w:p>
    <w:p w14:paraId="1AC25DD8" w14:textId="77777777" w:rsidR="00DF76BD" w:rsidRPr="00DF76BD" w:rsidRDefault="00DF76BD" w:rsidP="00DF76BD">
      <w:pPr>
        <w:rPr>
          <w:rFonts w:ascii="Calibri" w:hAnsi="Calibri"/>
          <w:sz w:val="24"/>
          <w:szCs w:val="24"/>
          <w:lang w:val="el-GR"/>
        </w:rPr>
      </w:pPr>
    </w:p>
    <w:p w14:paraId="2D96DADF" w14:textId="77777777" w:rsidR="00DF76BD" w:rsidRPr="00DF76BD" w:rsidRDefault="00DF76BD" w:rsidP="00DF76BD">
      <w:pPr>
        <w:rPr>
          <w:rFonts w:ascii="Calibri" w:hAnsi="Calibri"/>
          <w:sz w:val="24"/>
          <w:szCs w:val="24"/>
          <w:lang w:val="el-GR"/>
        </w:rPr>
      </w:pPr>
      <w:r w:rsidRPr="00DF76BD">
        <w:rPr>
          <w:rFonts w:ascii="Calibri" w:hAnsi="Calibri"/>
          <w:sz w:val="24"/>
          <w:szCs w:val="24"/>
          <w:lang w:val="el-GR"/>
        </w:rPr>
        <w:t>Η Επιτροπή αφού συζητά το θέμα αποφασίζει την έγκριση των όρων του διαγωνισμού ενώ παράλληλα αποφασίζει την προκήρυξη του διαγωνισμού. Ως Επιτροπή Αξιολόγησης ορίζονται οι:</w:t>
      </w:r>
    </w:p>
    <w:p w14:paraId="54E41C23" w14:textId="7D0B4BCF" w:rsidR="00DF76BD" w:rsidRPr="00AA45B0" w:rsidRDefault="00AA45B0" w:rsidP="00DF76BD">
      <w:pPr>
        <w:contextualSpacing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XXXXXXXXXXXXXXXXXX</w:t>
      </w:r>
    </w:p>
    <w:p w14:paraId="1D86A7BF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507FC97E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3165D355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221E3145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01761A51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619A83EF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26DCFB1F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72F41CB5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48F1A791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5D5C7765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77759F13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0A0DE8DB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7E7FD8D1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69C03649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39CD462F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0A9DB4E7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13503B1D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639F47BC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58541D84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64EF38F3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73C653B3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211CB856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3FBF851B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1DAC88F0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5E1385B5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6B28E39C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0B56D525" w14:textId="77777777" w:rsid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151F18C7" w14:textId="77777777" w:rsidR="00DF76BD" w:rsidRPr="00DF76BD" w:rsidRDefault="00DF76BD" w:rsidP="00DF76BD">
      <w:pPr>
        <w:contextualSpacing/>
        <w:rPr>
          <w:rFonts w:ascii="Calibri" w:hAnsi="Calibri"/>
          <w:bCs/>
          <w:sz w:val="24"/>
          <w:szCs w:val="24"/>
          <w:lang w:val="el-GR"/>
        </w:rPr>
      </w:pPr>
    </w:p>
    <w:p w14:paraId="4E1849B9" w14:textId="77777777" w:rsidR="00DF76BD" w:rsidRPr="00DF76BD" w:rsidRDefault="00DF76BD" w:rsidP="00DF76BD">
      <w:pPr>
        <w:numPr>
          <w:ilvl w:val="0"/>
          <w:numId w:val="12"/>
        </w:numPr>
        <w:rPr>
          <w:rFonts w:ascii="Calibri" w:hAnsi="Calibri"/>
          <w:b/>
          <w:bCs/>
          <w:szCs w:val="22"/>
          <w:lang w:val="el-GR"/>
        </w:rPr>
      </w:pPr>
      <w:r w:rsidRPr="00DF76BD">
        <w:rPr>
          <w:rFonts w:ascii="Calibri" w:hAnsi="Calibri"/>
          <w:b/>
          <w:bCs/>
          <w:szCs w:val="22"/>
          <w:lang w:val="el-GR"/>
        </w:rPr>
        <w:lastRenderedPageBreak/>
        <w:t xml:space="preserve">Προσφορά </w:t>
      </w:r>
      <w:bookmarkStart w:id="7" w:name="_Hlk171938645"/>
      <w:r w:rsidRPr="00DF76BD">
        <w:rPr>
          <w:rFonts w:ascii="Calibri" w:hAnsi="Calibri"/>
          <w:b/>
          <w:bCs/>
          <w:szCs w:val="22"/>
          <w:lang w:val="el-GR"/>
        </w:rPr>
        <w:t xml:space="preserve">για παροχή υπηρεσιών από Εγκεκριμένους Ελεγκτικούς Οίκους </w:t>
      </w:r>
      <w:bookmarkEnd w:id="7"/>
      <w:r w:rsidRPr="00DF76BD">
        <w:rPr>
          <w:rFonts w:ascii="Calibri" w:hAnsi="Calibri"/>
          <w:b/>
          <w:bCs/>
          <w:szCs w:val="22"/>
          <w:lang w:val="el-GR"/>
        </w:rPr>
        <w:t xml:space="preserve">(Αδειούχοι από ΣΕΛΚ). </w:t>
      </w:r>
      <w:proofErr w:type="spellStart"/>
      <w:r w:rsidRPr="00DF76BD">
        <w:rPr>
          <w:rFonts w:ascii="Calibri" w:hAnsi="Calibri"/>
          <w:b/>
          <w:bCs/>
          <w:szCs w:val="22"/>
          <w:lang w:val="el-GR"/>
        </w:rPr>
        <w:t>Αρ</w:t>
      </w:r>
      <w:proofErr w:type="spellEnd"/>
      <w:r w:rsidRPr="00DF76BD">
        <w:rPr>
          <w:rFonts w:ascii="Calibri" w:hAnsi="Calibri"/>
          <w:b/>
          <w:bCs/>
          <w:szCs w:val="22"/>
          <w:lang w:val="el-GR"/>
        </w:rPr>
        <w:t xml:space="preserve">. </w:t>
      </w:r>
      <w:proofErr w:type="spellStart"/>
      <w:r w:rsidRPr="00DF76BD">
        <w:rPr>
          <w:rFonts w:ascii="Calibri" w:hAnsi="Calibri"/>
          <w:b/>
          <w:bCs/>
          <w:szCs w:val="22"/>
          <w:lang w:val="el-GR"/>
        </w:rPr>
        <w:t>Διαγ</w:t>
      </w:r>
      <w:proofErr w:type="spellEnd"/>
      <w:r w:rsidRPr="00DF76BD">
        <w:rPr>
          <w:rFonts w:ascii="Calibri" w:hAnsi="Calibri"/>
          <w:b/>
          <w:bCs/>
          <w:szCs w:val="22"/>
          <w:lang w:val="el-GR"/>
        </w:rPr>
        <w:t>. 47/2024</w:t>
      </w:r>
    </w:p>
    <w:p w14:paraId="14D12456" w14:textId="77777777" w:rsidR="00DF76BD" w:rsidRPr="00DF76BD" w:rsidRDefault="00DF76BD" w:rsidP="00DF76BD">
      <w:pPr>
        <w:ind w:left="2250"/>
        <w:rPr>
          <w:rFonts w:ascii="Calibri" w:hAnsi="Calibri"/>
          <w:b/>
          <w:bCs/>
          <w:szCs w:val="22"/>
          <w:lang w:val="el-GR"/>
        </w:rPr>
      </w:pPr>
      <w:r w:rsidRPr="00DF76BD">
        <w:rPr>
          <w:rFonts w:ascii="Calibri" w:hAnsi="Calibri"/>
          <w:b/>
          <w:bCs/>
          <w:szCs w:val="22"/>
          <w:lang w:val="el-GR"/>
        </w:rPr>
        <w:t xml:space="preserve"> </w:t>
      </w:r>
    </w:p>
    <w:p w14:paraId="366BC0D3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>Η Επιτροπή ενημερώνεται για την έκθεση αξιολόγησης της προσφοράς για την παροχή υπηρεσιών από Εγκεκριμένους Ελεγκτικούς Οίκους (Αδειούχοι από ΣΕΛΚ).</w:t>
      </w:r>
    </w:p>
    <w:p w14:paraId="5ED1205D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</w:p>
    <w:p w14:paraId="17D37517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  <w:r w:rsidRPr="00DF76BD">
        <w:rPr>
          <w:lang w:val="el-GR"/>
        </w:rPr>
        <w:t xml:space="preserve"> Ο</w:t>
      </w:r>
      <w:r w:rsidRPr="00DF76BD">
        <w:rPr>
          <w:rFonts w:ascii="Calibri" w:hAnsi="Calibri"/>
          <w:szCs w:val="22"/>
          <w:lang w:val="el-GR"/>
        </w:rPr>
        <w:t xml:space="preserve"> προϋπολογισμός δαπάνης του πιο πάνω </w:t>
      </w:r>
      <w:proofErr w:type="spellStart"/>
      <w:r w:rsidRPr="00DF76BD">
        <w:rPr>
          <w:rFonts w:ascii="Calibri" w:hAnsi="Calibri"/>
          <w:szCs w:val="22"/>
          <w:lang w:val="el-GR"/>
        </w:rPr>
        <w:t>διαγωνσισμού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</w:t>
      </w:r>
      <w:proofErr w:type="spellStart"/>
      <w:r w:rsidRPr="00DF76BD">
        <w:rPr>
          <w:rFonts w:ascii="Calibri" w:hAnsi="Calibri"/>
          <w:szCs w:val="22"/>
          <w:lang w:val="el-GR"/>
        </w:rPr>
        <w:t>ανέρχετο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στις  €3.000 + ΦΠΑ.  Κατά την ημερομηνία λήξης του διαγωνισμού υποβλήθηκε μια προσφορά ως ακολούθως:</w:t>
      </w:r>
    </w:p>
    <w:p w14:paraId="263FBD03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</w:p>
    <w:p w14:paraId="7642E4C4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>1.</w:t>
      </w:r>
      <w:r w:rsidRPr="00DF76BD">
        <w:rPr>
          <w:rFonts w:ascii="Calibri" w:hAnsi="Calibri"/>
          <w:szCs w:val="22"/>
          <w:lang w:val="el-GR"/>
        </w:rPr>
        <w:tab/>
      </w:r>
      <w:proofErr w:type="spellStart"/>
      <w:r w:rsidRPr="00DF76BD">
        <w:rPr>
          <w:rFonts w:ascii="Calibri" w:hAnsi="Calibri"/>
          <w:szCs w:val="22"/>
          <w:lang w:val="el-GR"/>
        </w:rPr>
        <w:t>Grant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</w:t>
      </w:r>
      <w:proofErr w:type="spellStart"/>
      <w:r w:rsidRPr="00DF76BD">
        <w:rPr>
          <w:rFonts w:ascii="Calibri" w:hAnsi="Calibri"/>
          <w:szCs w:val="22"/>
          <w:lang w:val="el-GR"/>
        </w:rPr>
        <w:t>Thornton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-&gt; €3.332 συμπεριλαμβανομένου του ΦΠΑ </w:t>
      </w:r>
    </w:p>
    <w:p w14:paraId="7F4F3ABF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 xml:space="preserve"> </w:t>
      </w:r>
    </w:p>
    <w:p w14:paraId="1D8DA1DB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</w:p>
    <w:p w14:paraId="5D871AC2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 xml:space="preserve">Βασικός όρος του διαγωνισμού είναι οι ελεγκτικοί οίκοι να είναι αδειούχοι του ΣΕΛΚ, κριτήριο που </w:t>
      </w:r>
      <w:proofErr w:type="spellStart"/>
      <w:r w:rsidRPr="00DF76BD">
        <w:rPr>
          <w:rFonts w:ascii="Calibri" w:hAnsi="Calibri"/>
          <w:szCs w:val="22"/>
          <w:lang w:val="el-GR"/>
        </w:rPr>
        <w:t>πληρεί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ο πιο πάνω </w:t>
      </w:r>
      <w:proofErr w:type="spellStart"/>
      <w:r w:rsidRPr="00DF76BD">
        <w:rPr>
          <w:rFonts w:ascii="Calibri" w:hAnsi="Calibri"/>
          <w:szCs w:val="22"/>
          <w:lang w:val="el-GR"/>
        </w:rPr>
        <w:t>προσφοροδότης</w:t>
      </w:r>
      <w:proofErr w:type="spellEnd"/>
      <w:r w:rsidRPr="00DF76BD">
        <w:rPr>
          <w:rFonts w:ascii="Calibri" w:hAnsi="Calibri"/>
          <w:szCs w:val="22"/>
          <w:lang w:val="el-GR"/>
        </w:rPr>
        <w:t>.</w:t>
      </w:r>
    </w:p>
    <w:p w14:paraId="231A7A44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</w:p>
    <w:p w14:paraId="49D14ADC" w14:textId="77777777" w:rsidR="00DF76BD" w:rsidRPr="00DF76BD" w:rsidRDefault="00DF76BD" w:rsidP="00DF76BD">
      <w:pPr>
        <w:rPr>
          <w:rFonts w:ascii="Calibri" w:hAnsi="Calibri"/>
          <w:szCs w:val="22"/>
          <w:lang w:val="el-GR"/>
        </w:rPr>
      </w:pPr>
      <w:r w:rsidRPr="00DF76BD">
        <w:rPr>
          <w:rFonts w:ascii="Calibri" w:hAnsi="Calibri"/>
          <w:szCs w:val="22"/>
          <w:lang w:val="el-GR"/>
        </w:rPr>
        <w:t xml:space="preserve">Η Επιτροπή ενημερώνεται ότι ο </w:t>
      </w:r>
      <w:proofErr w:type="spellStart"/>
      <w:r w:rsidRPr="00DF76BD">
        <w:rPr>
          <w:rFonts w:ascii="Calibri" w:hAnsi="Calibri"/>
          <w:szCs w:val="22"/>
          <w:lang w:val="el-GR"/>
        </w:rPr>
        <w:t>προσφοροδότης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</w:t>
      </w:r>
      <w:proofErr w:type="spellStart"/>
      <w:r w:rsidRPr="00DF76BD">
        <w:rPr>
          <w:rFonts w:ascii="Calibri" w:hAnsi="Calibri"/>
          <w:szCs w:val="22"/>
          <w:lang w:val="el-GR"/>
        </w:rPr>
        <w:t>Grant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</w:t>
      </w:r>
      <w:proofErr w:type="spellStart"/>
      <w:r w:rsidRPr="00DF76BD">
        <w:rPr>
          <w:rFonts w:ascii="Calibri" w:hAnsi="Calibri"/>
          <w:szCs w:val="22"/>
          <w:lang w:val="el-GR"/>
        </w:rPr>
        <w:t>Thornton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</w:t>
      </w:r>
      <w:proofErr w:type="spellStart"/>
      <w:r w:rsidRPr="00DF76BD">
        <w:rPr>
          <w:rFonts w:ascii="Calibri" w:hAnsi="Calibri"/>
          <w:szCs w:val="22"/>
          <w:lang w:val="el-GR"/>
        </w:rPr>
        <w:t>πληρεί</w:t>
      </w:r>
      <w:proofErr w:type="spellEnd"/>
      <w:r w:rsidRPr="00DF76BD">
        <w:rPr>
          <w:rFonts w:ascii="Calibri" w:hAnsi="Calibri"/>
          <w:szCs w:val="22"/>
          <w:lang w:val="el-GR"/>
        </w:rPr>
        <w:t xml:space="preserve"> το κριτήριο και αφού συζητά το θέμα αποφασίζει όπως για την προσφορά για παροχή υπηρεσιών από Εγκεκριμένους Ελεγκτικούς Οίκους κατακυρωθεί η προσφορά της εν λόγω εταιρείας.  .</w:t>
      </w:r>
    </w:p>
    <w:p w14:paraId="7D31B0AF" w14:textId="77777777" w:rsidR="00DF76BD" w:rsidRPr="00DF76BD" w:rsidRDefault="00DF76BD" w:rsidP="00DF76BD">
      <w:pPr>
        <w:jc w:val="both"/>
        <w:rPr>
          <w:rFonts w:asciiTheme="minorHAnsi" w:hAnsiTheme="minorHAnsi" w:cstheme="minorHAnsi"/>
          <w:bCs/>
          <w:szCs w:val="22"/>
          <w:lang w:val="el-GR"/>
        </w:rPr>
      </w:pPr>
    </w:p>
    <w:p w14:paraId="2FD96A5B" w14:textId="77777777" w:rsidR="00DF76BD" w:rsidRPr="00DF76BD" w:rsidRDefault="00DF76BD" w:rsidP="00DF76BD">
      <w:pPr>
        <w:rPr>
          <w:lang w:val="el-GR"/>
        </w:rPr>
      </w:pPr>
    </w:p>
    <w:sectPr w:rsidR="00DF76BD" w:rsidRPr="00DF76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6090" w14:textId="77777777" w:rsidR="00C12ACC" w:rsidRDefault="00C12ACC" w:rsidP="00B926C4">
      <w:pPr>
        <w:spacing w:line="240" w:lineRule="auto"/>
      </w:pPr>
      <w:r>
        <w:separator/>
      </w:r>
    </w:p>
  </w:endnote>
  <w:endnote w:type="continuationSeparator" w:id="0">
    <w:p w14:paraId="58437D4F" w14:textId="77777777" w:rsidR="00C12ACC" w:rsidRDefault="00C12ACC" w:rsidP="00B92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A131" w14:textId="77777777" w:rsidR="00C12ACC" w:rsidRDefault="00C12ACC" w:rsidP="00B926C4">
      <w:pPr>
        <w:spacing w:line="240" w:lineRule="auto"/>
      </w:pPr>
      <w:r>
        <w:separator/>
      </w:r>
    </w:p>
  </w:footnote>
  <w:footnote w:type="continuationSeparator" w:id="0">
    <w:p w14:paraId="7E087F17" w14:textId="77777777" w:rsidR="00C12ACC" w:rsidRDefault="00C12ACC" w:rsidP="00B92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FDDA" w14:textId="02E0E788" w:rsidR="00B926C4" w:rsidRDefault="00B926C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1EF10D" wp14:editId="38A828E1">
              <wp:simplePos x="0" y="0"/>
              <wp:positionH relativeFrom="column">
                <wp:posOffset>371475</wp:posOffset>
              </wp:positionH>
              <wp:positionV relativeFrom="paragraph">
                <wp:posOffset>-210185</wp:posOffset>
              </wp:positionV>
              <wp:extent cx="5219700" cy="8286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FD13B" w14:textId="77777777" w:rsidR="00B926C4" w:rsidRPr="000021A4" w:rsidRDefault="00B926C4" w:rsidP="00B926C4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val="el-GR"/>
                            </w:rPr>
                          </w:pPr>
                          <w:r w:rsidRPr="000021A4">
                            <w:rPr>
                              <w:b/>
                              <w:bCs/>
                              <w:sz w:val="24"/>
                              <w:szCs w:val="24"/>
                              <w:lang w:val="el-GR"/>
                            </w:rPr>
                            <w:t>ΔΗΜΟΣ ΛΑΡΝΑΚΑΣ</w:t>
                          </w:r>
                        </w:p>
                        <w:p w14:paraId="591DE6A9" w14:textId="554AC52F" w:rsidR="00B926C4" w:rsidRPr="002F36A8" w:rsidRDefault="00B926C4" w:rsidP="00B926C4">
                          <w:pPr>
                            <w:ind w:left="720" w:firstLine="720"/>
                            <w:rPr>
                              <w:sz w:val="24"/>
                              <w:szCs w:val="24"/>
                              <w:lang w:val="el-GR"/>
                            </w:rPr>
                          </w:pP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t xml:space="preserve">                    ΑΠΟΦΑΣΗ ΕΠΙΤΡΟΠΗΣ ΠΡΟΣΦΟΡΩΝ</w:t>
                          </w: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br/>
                            <w:t xml:space="preserve">                                     ΗΜΕΡ.</w:t>
                          </w:r>
                          <w:r w:rsidR="00BD775E">
                            <w:rPr>
                              <w:sz w:val="24"/>
                              <w:szCs w:val="24"/>
                              <w:lang w:val="el-GR"/>
                            </w:rPr>
                            <w:t>2</w:t>
                          </w:r>
                          <w:r w:rsidR="00202B4A">
                            <w:rPr>
                              <w:sz w:val="24"/>
                              <w:szCs w:val="24"/>
                              <w:lang w:val="el-GR"/>
                            </w:rPr>
                            <w:t>7</w:t>
                          </w:r>
                          <w:r w:rsidR="00BD775E">
                            <w:rPr>
                              <w:sz w:val="24"/>
                              <w:szCs w:val="24"/>
                              <w:lang w:val="el-GR"/>
                            </w:rPr>
                            <w:t>/</w:t>
                          </w:r>
                          <w:r w:rsidR="00DF76BD">
                            <w:rPr>
                              <w:sz w:val="24"/>
                              <w:szCs w:val="24"/>
                              <w:lang w:val="el-GR"/>
                            </w:rPr>
                            <w:t>6</w:t>
                          </w:r>
                          <w:r w:rsidR="00202B4A">
                            <w:rPr>
                              <w:sz w:val="24"/>
                              <w:szCs w:val="24"/>
                              <w:lang w:val="el-GR"/>
                            </w:rPr>
                            <w:t>/2024</w:t>
                          </w: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t>, ΑΡ. ΠΡΑΚΤ.</w:t>
                          </w:r>
                          <w:r w:rsidR="003E1990">
                            <w:rPr>
                              <w:sz w:val="24"/>
                              <w:szCs w:val="24"/>
                              <w:lang w:val="el-GR"/>
                            </w:rPr>
                            <w:t>30</w:t>
                          </w:r>
                          <w:r w:rsidR="00DF76BD">
                            <w:rPr>
                              <w:sz w:val="24"/>
                              <w:szCs w:val="24"/>
                              <w:lang w:val="el-GR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F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25pt;margin-top:-16.55pt;width:411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XRDwIAAB8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">
              <v:textbox>
                <w:txbxContent>
                  <w:p w14:paraId="757FD13B" w14:textId="77777777" w:rsidR="00B926C4" w:rsidRPr="000021A4" w:rsidRDefault="00B926C4" w:rsidP="00B926C4">
                    <w:pPr>
                      <w:rPr>
                        <w:b/>
                        <w:bCs/>
                        <w:sz w:val="24"/>
                        <w:szCs w:val="24"/>
                        <w:lang w:val="el-GR"/>
                      </w:rPr>
                    </w:pPr>
                    <w:r w:rsidRPr="000021A4">
                      <w:rPr>
                        <w:b/>
                        <w:bCs/>
                        <w:sz w:val="24"/>
                        <w:szCs w:val="24"/>
                        <w:lang w:val="el-GR"/>
                      </w:rPr>
                      <w:t>ΔΗΜΟΣ ΛΑΡΝΑΚΑΣ</w:t>
                    </w:r>
                  </w:p>
                  <w:p w14:paraId="591DE6A9" w14:textId="554AC52F" w:rsidR="00B926C4" w:rsidRPr="002F36A8" w:rsidRDefault="00B926C4" w:rsidP="00B926C4">
                    <w:pPr>
                      <w:ind w:left="720" w:firstLine="720"/>
                      <w:rPr>
                        <w:sz w:val="24"/>
                        <w:szCs w:val="24"/>
                        <w:lang w:val="el-GR"/>
                      </w:rPr>
                    </w:pPr>
                    <w:r w:rsidRPr="000021A4">
                      <w:rPr>
                        <w:sz w:val="24"/>
                        <w:szCs w:val="24"/>
                        <w:lang w:val="el-GR"/>
                      </w:rPr>
                      <w:t xml:space="preserve">                    ΑΠΟΦΑΣΗ ΕΠΙΤΡΟΠΗΣ ΠΡΟΣΦΟΡΩΝ</w:t>
                    </w:r>
                    <w:r w:rsidRPr="000021A4">
                      <w:rPr>
                        <w:sz w:val="24"/>
                        <w:szCs w:val="24"/>
                        <w:lang w:val="el-GR"/>
                      </w:rPr>
                      <w:br/>
                      <w:t xml:space="preserve">                                     ΗΜΕΡ.</w:t>
                    </w:r>
                    <w:r w:rsidR="00BD775E">
                      <w:rPr>
                        <w:sz w:val="24"/>
                        <w:szCs w:val="24"/>
                        <w:lang w:val="el-GR"/>
                      </w:rPr>
                      <w:t>2</w:t>
                    </w:r>
                    <w:r w:rsidR="00202B4A">
                      <w:rPr>
                        <w:sz w:val="24"/>
                        <w:szCs w:val="24"/>
                        <w:lang w:val="el-GR"/>
                      </w:rPr>
                      <w:t>7</w:t>
                    </w:r>
                    <w:r w:rsidR="00BD775E">
                      <w:rPr>
                        <w:sz w:val="24"/>
                        <w:szCs w:val="24"/>
                        <w:lang w:val="el-GR"/>
                      </w:rPr>
                      <w:t>/</w:t>
                    </w:r>
                    <w:r w:rsidR="00DF76BD">
                      <w:rPr>
                        <w:sz w:val="24"/>
                        <w:szCs w:val="24"/>
                        <w:lang w:val="el-GR"/>
                      </w:rPr>
                      <w:t>6</w:t>
                    </w:r>
                    <w:r w:rsidR="00202B4A">
                      <w:rPr>
                        <w:sz w:val="24"/>
                        <w:szCs w:val="24"/>
                        <w:lang w:val="el-GR"/>
                      </w:rPr>
                      <w:t>/2024</w:t>
                    </w:r>
                    <w:r w:rsidRPr="000021A4">
                      <w:rPr>
                        <w:sz w:val="24"/>
                        <w:szCs w:val="24"/>
                        <w:lang w:val="el-GR"/>
                      </w:rPr>
                      <w:t>, ΑΡ. ΠΡΑΚΤ.</w:t>
                    </w:r>
                    <w:r w:rsidR="003E1990">
                      <w:rPr>
                        <w:sz w:val="24"/>
                        <w:szCs w:val="24"/>
                        <w:lang w:val="el-GR"/>
                      </w:rPr>
                      <w:t>30</w:t>
                    </w:r>
                    <w:r w:rsidR="00DF76BD">
                      <w:rPr>
                        <w:sz w:val="24"/>
                        <w:szCs w:val="24"/>
                        <w:lang w:val="el-GR"/>
                      </w:rPr>
                      <w:t>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3C6"/>
    <w:multiLevelType w:val="hybridMultilevel"/>
    <w:tmpl w:val="CDA81B4E"/>
    <w:lvl w:ilvl="0" w:tplc="DA9082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70C"/>
    <w:multiLevelType w:val="hybridMultilevel"/>
    <w:tmpl w:val="9BF2223A"/>
    <w:lvl w:ilvl="0" w:tplc="94F4E1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320C4"/>
    <w:multiLevelType w:val="hybridMultilevel"/>
    <w:tmpl w:val="EBFCE506"/>
    <w:lvl w:ilvl="0" w:tplc="FFFFFFF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70" w:hanging="360"/>
      </w:p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A440F6A"/>
    <w:multiLevelType w:val="hybridMultilevel"/>
    <w:tmpl w:val="54A82068"/>
    <w:lvl w:ilvl="0" w:tplc="344EE62A">
      <w:start w:val="8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 w15:restartNumberingAfterBreak="0">
    <w:nsid w:val="11FB10C9"/>
    <w:multiLevelType w:val="hybridMultilevel"/>
    <w:tmpl w:val="D78CC156"/>
    <w:lvl w:ilvl="0" w:tplc="71A08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72C1B"/>
    <w:multiLevelType w:val="hybridMultilevel"/>
    <w:tmpl w:val="4E4E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212A"/>
    <w:multiLevelType w:val="hybridMultilevel"/>
    <w:tmpl w:val="80804262"/>
    <w:lvl w:ilvl="0" w:tplc="359CE8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F152E"/>
    <w:multiLevelType w:val="hybridMultilevel"/>
    <w:tmpl w:val="8F762D02"/>
    <w:lvl w:ilvl="0" w:tplc="08AAE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6220"/>
    <w:multiLevelType w:val="hybridMultilevel"/>
    <w:tmpl w:val="E2DA6D58"/>
    <w:lvl w:ilvl="0" w:tplc="5D7243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27627"/>
    <w:multiLevelType w:val="hybridMultilevel"/>
    <w:tmpl w:val="898E96C2"/>
    <w:lvl w:ilvl="0" w:tplc="13BA2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B3E6E"/>
    <w:multiLevelType w:val="hybridMultilevel"/>
    <w:tmpl w:val="2312F696"/>
    <w:lvl w:ilvl="0" w:tplc="B100F9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31874"/>
    <w:multiLevelType w:val="hybridMultilevel"/>
    <w:tmpl w:val="EBFCE506"/>
    <w:lvl w:ilvl="0" w:tplc="1D2EF28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 w15:restartNumberingAfterBreak="0">
    <w:nsid w:val="54632120"/>
    <w:multiLevelType w:val="hybridMultilevel"/>
    <w:tmpl w:val="A99C6232"/>
    <w:lvl w:ilvl="0" w:tplc="1374B70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605F8"/>
    <w:multiLevelType w:val="hybridMultilevel"/>
    <w:tmpl w:val="07DA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D5BB9"/>
    <w:multiLevelType w:val="hybridMultilevel"/>
    <w:tmpl w:val="204E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45E02"/>
    <w:multiLevelType w:val="hybridMultilevel"/>
    <w:tmpl w:val="791EEB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87176A6"/>
    <w:multiLevelType w:val="hybridMultilevel"/>
    <w:tmpl w:val="DE32DF58"/>
    <w:lvl w:ilvl="0" w:tplc="2332B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84DB1"/>
    <w:multiLevelType w:val="hybridMultilevel"/>
    <w:tmpl w:val="CA9415EC"/>
    <w:lvl w:ilvl="0" w:tplc="DA3844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A2BBA"/>
    <w:multiLevelType w:val="hybridMultilevel"/>
    <w:tmpl w:val="5564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8458">
    <w:abstractNumId w:val="1"/>
  </w:num>
  <w:num w:numId="2" w16cid:durableId="131607568">
    <w:abstractNumId w:val="16"/>
  </w:num>
  <w:num w:numId="3" w16cid:durableId="1159812256">
    <w:abstractNumId w:val="15"/>
  </w:num>
  <w:num w:numId="4" w16cid:durableId="1135833234">
    <w:abstractNumId w:val="14"/>
  </w:num>
  <w:num w:numId="5" w16cid:durableId="878511262">
    <w:abstractNumId w:val="9"/>
  </w:num>
  <w:num w:numId="6" w16cid:durableId="769659918">
    <w:abstractNumId w:val="5"/>
  </w:num>
  <w:num w:numId="7" w16cid:durableId="1012296439">
    <w:abstractNumId w:val="8"/>
  </w:num>
  <w:num w:numId="8" w16cid:durableId="1521310908">
    <w:abstractNumId w:val="4"/>
  </w:num>
  <w:num w:numId="9" w16cid:durableId="932933650">
    <w:abstractNumId w:val="0"/>
  </w:num>
  <w:num w:numId="10" w16cid:durableId="1110196497">
    <w:abstractNumId w:val="10"/>
  </w:num>
  <w:num w:numId="11" w16cid:durableId="1633512715">
    <w:abstractNumId w:val="6"/>
  </w:num>
  <w:num w:numId="12" w16cid:durableId="2053536559">
    <w:abstractNumId w:val="11"/>
  </w:num>
  <w:num w:numId="13" w16cid:durableId="983579659">
    <w:abstractNumId w:val="2"/>
  </w:num>
  <w:num w:numId="14" w16cid:durableId="645627232">
    <w:abstractNumId w:val="7"/>
  </w:num>
  <w:num w:numId="15" w16cid:durableId="1387146101">
    <w:abstractNumId w:val="11"/>
  </w:num>
  <w:num w:numId="16" w16cid:durableId="39062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5075708">
    <w:abstractNumId w:val="13"/>
  </w:num>
  <w:num w:numId="18" w16cid:durableId="1503619933">
    <w:abstractNumId w:val="3"/>
  </w:num>
  <w:num w:numId="19" w16cid:durableId="251940234">
    <w:abstractNumId w:val="12"/>
  </w:num>
  <w:num w:numId="20" w16cid:durableId="1535580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8531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5999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4"/>
    <w:rsid w:val="000021A4"/>
    <w:rsid w:val="00002702"/>
    <w:rsid w:val="00021FC0"/>
    <w:rsid w:val="00070175"/>
    <w:rsid w:val="00071E60"/>
    <w:rsid w:val="0008638A"/>
    <w:rsid w:val="00087205"/>
    <w:rsid w:val="000E3ED2"/>
    <w:rsid w:val="000F3810"/>
    <w:rsid w:val="00110030"/>
    <w:rsid w:val="00115C61"/>
    <w:rsid w:val="00153FC8"/>
    <w:rsid w:val="0017452A"/>
    <w:rsid w:val="001862AF"/>
    <w:rsid w:val="0019145F"/>
    <w:rsid w:val="00192379"/>
    <w:rsid w:val="001A7763"/>
    <w:rsid w:val="001E7E1B"/>
    <w:rsid w:val="001F53B7"/>
    <w:rsid w:val="00202B4A"/>
    <w:rsid w:val="00212E73"/>
    <w:rsid w:val="00223B16"/>
    <w:rsid w:val="00224828"/>
    <w:rsid w:val="00227D92"/>
    <w:rsid w:val="00253688"/>
    <w:rsid w:val="00256B93"/>
    <w:rsid w:val="002601FE"/>
    <w:rsid w:val="002A67DD"/>
    <w:rsid w:val="002C3D9E"/>
    <w:rsid w:val="002C6F78"/>
    <w:rsid w:val="002F34AD"/>
    <w:rsid w:val="002F36A8"/>
    <w:rsid w:val="003144C5"/>
    <w:rsid w:val="00331817"/>
    <w:rsid w:val="003A60B5"/>
    <w:rsid w:val="003D0080"/>
    <w:rsid w:val="003D060E"/>
    <w:rsid w:val="003E1708"/>
    <w:rsid w:val="003E1990"/>
    <w:rsid w:val="003E5A12"/>
    <w:rsid w:val="003E673C"/>
    <w:rsid w:val="003F6D50"/>
    <w:rsid w:val="00443D4A"/>
    <w:rsid w:val="00487991"/>
    <w:rsid w:val="004A2B34"/>
    <w:rsid w:val="004A6EC7"/>
    <w:rsid w:val="004E521B"/>
    <w:rsid w:val="00503894"/>
    <w:rsid w:val="00537297"/>
    <w:rsid w:val="0054017B"/>
    <w:rsid w:val="005A416A"/>
    <w:rsid w:val="005B1809"/>
    <w:rsid w:val="005C1566"/>
    <w:rsid w:val="005D1F59"/>
    <w:rsid w:val="006016C6"/>
    <w:rsid w:val="006035D2"/>
    <w:rsid w:val="00605E8A"/>
    <w:rsid w:val="00611613"/>
    <w:rsid w:val="006136BC"/>
    <w:rsid w:val="00615DB9"/>
    <w:rsid w:val="006478D3"/>
    <w:rsid w:val="00671E36"/>
    <w:rsid w:val="006804F9"/>
    <w:rsid w:val="006947B6"/>
    <w:rsid w:val="006963BC"/>
    <w:rsid w:val="006A3467"/>
    <w:rsid w:val="006C6CA3"/>
    <w:rsid w:val="006D28A1"/>
    <w:rsid w:val="006F2DE2"/>
    <w:rsid w:val="0070544E"/>
    <w:rsid w:val="007069F8"/>
    <w:rsid w:val="00730B63"/>
    <w:rsid w:val="007512F2"/>
    <w:rsid w:val="007654BD"/>
    <w:rsid w:val="00796343"/>
    <w:rsid w:val="007D5770"/>
    <w:rsid w:val="007E197C"/>
    <w:rsid w:val="008041BE"/>
    <w:rsid w:val="00807B27"/>
    <w:rsid w:val="00824C0F"/>
    <w:rsid w:val="00841EC7"/>
    <w:rsid w:val="00852C60"/>
    <w:rsid w:val="008736F9"/>
    <w:rsid w:val="008813AC"/>
    <w:rsid w:val="008A10BF"/>
    <w:rsid w:val="008B350E"/>
    <w:rsid w:val="008B3D07"/>
    <w:rsid w:val="008C67AB"/>
    <w:rsid w:val="008D3692"/>
    <w:rsid w:val="008D40D3"/>
    <w:rsid w:val="008F45BB"/>
    <w:rsid w:val="008F49AC"/>
    <w:rsid w:val="00905292"/>
    <w:rsid w:val="0091045D"/>
    <w:rsid w:val="009307F2"/>
    <w:rsid w:val="0093238D"/>
    <w:rsid w:val="00935933"/>
    <w:rsid w:val="00953976"/>
    <w:rsid w:val="0095527B"/>
    <w:rsid w:val="00980BFA"/>
    <w:rsid w:val="009C6487"/>
    <w:rsid w:val="009D48F8"/>
    <w:rsid w:val="009D5427"/>
    <w:rsid w:val="009E2D6B"/>
    <w:rsid w:val="00A025B7"/>
    <w:rsid w:val="00A12DBB"/>
    <w:rsid w:val="00A82205"/>
    <w:rsid w:val="00AA45B0"/>
    <w:rsid w:val="00AB067D"/>
    <w:rsid w:val="00AB15D3"/>
    <w:rsid w:val="00AD4759"/>
    <w:rsid w:val="00AE0DD7"/>
    <w:rsid w:val="00AF5546"/>
    <w:rsid w:val="00B80EE9"/>
    <w:rsid w:val="00B868D9"/>
    <w:rsid w:val="00B926C4"/>
    <w:rsid w:val="00BB5CE2"/>
    <w:rsid w:val="00BC31D7"/>
    <w:rsid w:val="00BD775E"/>
    <w:rsid w:val="00BE3776"/>
    <w:rsid w:val="00BF16B0"/>
    <w:rsid w:val="00BF53F1"/>
    <w:rsid w:val="00C035E7"/>
    <w:rsid w:val="00C122C1"/>
    <w:rsid w:val="00C12ACC"/>
    <w:rsid w:val="00C3027F"/>
    <w:rsid w:val="00C71D67"/>
    <w:rsid w:val="00C720B1"/>
    <w:rsid w:val="00C77CB9"/>
    <w:rsid w:val="00C94EDF"/>
    <w:rsid w:val="00CA5BAA"/>
    <w:rsid w:val="00D0011B"/>
    <w:rsid w:val="00D02ECD"/>
    <w:rsid w:val="00D12BD5"/>
    <w:rsid w:val="00D33493"/>
    <w:rsid w:val="00D51A42"/>
    <w:rsid w:val="00D61730"/>
    <w:rsid w:val="00DB1A0A"/>
    <w:rsid w:val="00DB5393"/>
    <w:rsid w:val="00DC06C5"/>
    <w:rsid w:val="00DC432E"/>
    <w:rsid w:val="00DD2048"/>
    <w:rsid w:val="00DD4BDD"/>
    <w:rsid w:val="00DF76BD"/>
    <w:rsid w:val="00E01F38"/>
    <w:rsid w:val="00E20FDC"/>
    <w:rsid w:val="00E72F35"/>
    <w:rsid w:val="00E9109D"/>
    <w:rsid w:val="00E919FC"/>
    <w:rsid w:val="00E97BD1"/>
    <w:rsid w:val="00EA518A"/>
    <w:rsid w:val="00EC391F"/>
    <w:rsid w:val="00ED6B50"/>
    <w:rsid w:val="00EE4F91"/>
    <w:rsid w:val="00F04793"/>
    <w:rsid w:val="00F21BE5"/>
    <w:rsid w:val="00F371E7"/>
    <w:rsid w:val="00F44CFF"/>
    <w:rsid w:val="00F719A5"/>
    <w:rsid w:val="00F81378"/>
    <w:rsid w:val="00F91B7B"/>
    <w:rsid w:val="00F9240A"/>
    <w:rsid w:val="00FB5E21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9D86E"/>
  <w15:chartTrackingRefBased/>
  <w15:docId w15:val="{8C2507CF-6E2B-4044-A451-52FFBA3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30"/>
    <w:pPr>
      <w:spacing w:after="0" w:line="260" w:lineRule="atLeast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D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6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C4"/>
  </w:style>
  <w:style w:type="paragraph" w:styleId="Footer">
    <w:name w:val="footer"/>
    <w:basedOn w:val="Normal"/>
    <w:link w:val="FooterChar"/>
    <w:uiPriority w:val="99"/>
    <w:unhideWhenUsed/>
    <w:rsid w:val="00B926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C4"/>
  </w:style>
  <w:style w:type="paragraph" w:styleId="NoSpacing">
    <w:name w:val="No Spacing"/>
    <w:uiPriority w:val="1"/>
    <w:qFormat/>
    <w:rsid w:val="00B926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021A4"/>
    <w:pPr>
      <w:ind w:left="720"/>
    </w:pPr>
  </w:style>
  <w:style w:type="paragraph" w:styleId="BodyText">
    <w:name w:val="Body Text"/>
    <w:aliases w:val=" Char,Char"/>
    <w:basedOn w:val="Normal"/>
    <w:link w:val="BodyTextChar"/>
    <w:rsid w:val="008D40D3"/>
    <w:pPr>
      <w:spacing w:before="130" w:after="130"/>
    </w:pPr>
    <w:rPr>
      <w:sz w:val="20"/>
      <w:lang w:val="x-none" w:eastAsia="x-none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8D40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71D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C7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Praktikografos</dc:creator>
  <cp:keywords/>
  <dc:description/>
  <cp:lastModifiedBy>Michalis Shialaros</cp:lastModifiedBy>
  <cp:revision>3</cp:revision>
  <cp:lastPrinted>2024-08-13T07:40:00Z</cp:lastPrinted>
  <dcterms:created xsi:type="dcterms:W3CDTF">2026-03-26T06:38:00Z</dcterms:created>
  <dcterms:modified xsi:type="dcterms:W3CDTF">2026-03-26T06:59:00Z</dcterms:modified>
</cp:coreProperties>
</file>