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F9B5" w14:textId="77777777" w:rsidR="00016A44" w:rsidRPr="002F5C4C" w:rsidRDefault="00016A44" w:rsidP="00016A44">
      <w:pPr>
        <w:numPr>
          <w:ilvl w:val="0"/>
          <w:numId w:val="61"/>
        </w:numPr>
        <w:rPr>
          <w:rFonts w:ascii="Arial" w:hAnsi="Arial" w:cs="Arial"/>
          <w:b/>
          <w:szCs w:val="22"/>
          <w:lang w:val="el-GR"/>
        </w:rPr>
      </w:pPr>
      <w:r w:rsidRPr="002F5C4C">
        <w:rPr>
          <w:rFonts w:ascii="Calibri" w:hAnsi="Calibri"/>
          <w:b/>
          <w:bCs/>
          <w:szCs w:val="22"/>
          <w:lang w:val="el-GR"/>
        </w:rPr>
        <w:t xml:space="preserve">Έκθεση αξιολόγησης για την επέκταση του Κοιμητηρίου του Δημοτικό Διαμέρισμα Λάρνακας, Φάση Β. </w:t>
      </w:r>
      <w:proofErr w:type="spellStart"/>
      <w:r w:rsidRPr="002F5C4C">
        <w:rPr>
          <w:rFonts w:ascii="Calibri" w:hAnsi="Calibri"/>
          <w:b/>
          <w:bCs/>
          <w:szCs w:val="22"/>
          <w:lang w:val="el-GR"/>
        </w:rPr>
        <w:t>Αρ</w:t>
      </w:r>
      <w:proofErr w:type="spellEnd"/>
      <w:r w:rsidRPr="002F5C4C">
        <w:rPr>
          <w:rFonts w:ascii="Calibri" w:hAnsi="Calibri"/>
          <w:b/>
          <w:bCs/>
          <w:szCs w:val="22"/>
          <w:lang w:val="el-GR"/>
        </w:rPr>
        <w:t xml:space="preserve">. </w:t>
      </w:r>
      <w:proofErr w:type="spellStart"/>
      <w:r w:rsidRPr="002F5C4C">
        <w:rPr>
          <w:rFonts w:ascii="Calibri" w:hAnsi="Calibri"/>
          <w:b/>
          <w:bCs/>
          <w:szCs w:val="22"/>
          <w:lang w:val="el-GR"/>
        </w:rPr>
        <w:t>Διαγ</w:t>
      </w:r>
      <w:proofErr w:type="spellEnd"/>
      <w:r w:rsidRPr="002F5C4C">
        <w:rPr>
          <w:rFonts w:ascii="Calibri" w:hAnsi="Calibri"/>
          <w:b/>
          <w:bCs/>
          <w:szCs w:val="22"/>
          <w:lang w:val="el-GR"/>
        </w:rPr>
        <w:t>.: 91/2025</w:t>
      </w:r>
      <w:r>
        <w:rPr>
          <w:rFonts w:ascii="Calibri" w:hAnsi="Calibri"/>
          <w:b/>
          <w:bCs/>
          <w:szCs w:val="22"/>
          <w:lang w:val="el-GR"/>
        </w:rPr>
        <w:t>.</w:t>
      </w:r>
    </w:p>
    <w:p w14:paraId="77EA8DC3" w14:textId="77777777" w:rsidR="00016A44" w:rsidRDefault="00016A44" w:rsidP="00016A44">
      <w:pPr>
        <w:rPr>
          <w:rFonts w:ascii="Calibri" w:hAnsi="Calibri"/>
          <w:b/>
          <w:bCs/>
          <w:szCs w:val="22"/>
          <w:lang w:val="el-GR"/>
        </w:rPr>
      </w:pPr>
    </w:p>
    <w:p w14:paraId="7C4D592A" w14:textId="45DA4AD0" w:rsidR="00016A44" w:rsidRPr="00CC044F" w:rsidRDefault="00016A44" w:rsidP="00016A44">
      <w:pPr>
        <w:jc w:val="both"/>
        <w:rPr>
          <w:rFonts w:asciiTheme="minorHAnsi" w:hAnsiTheme="minorHAnsi" w:cstheme="minorHAnsi"/>
          <w:bCs/>
          <w:szCs w:val="22"/>
          <w:lang w:val="el-GR"/>
        </w:rPr>
      </w:pPr>
      <w:r w:rsidRPr="00CC044F">
        <w:rPr>
          <w:rFonts w:asciiTheme="minorHAnsi" w:hAnsiTheme="minorHAnsi" w:cstheme="minorHAnsi"/>
          <w:bCs/>
          <w:szCs w:val="22"/>
          <w:lang w:val="el-GR"/>
        </w:rPr>
        <w:t xml:space="preserve">Η Επιτροπή ενημερώνεται για την έκθεση αξιολόγησης για την επέκταση του Κοιμητηρίου του Δημοτικό Διαμέρισμα Λάρνακας, Φάση Β. </w:t>
      </w:r>
      <w:proofErr w:type="spellStart"/>
      <w:r w:rsidRPr="00CC044F">
        <w:rPr>
          <w:rFonts w:asciiTheme="minorHAnsi" w:hAnsiTheme="minorHAnsi" w:cstheme="minorHAnsi"/>
          <w:bCs/>
          <w:szCs w:val="22"/>
          <w:lang w:val="el-GR"/>
        </w:rPr>
        <w:t>Αρ</w:t>
      </w:r>
      <w:proofErr w:type="spellEnd"/>
      <w:r w:rsidRPr="00CC044F">
        <w:rPr>
          <w:rFonts w:asciiTheme="minorHAnsi" w:hAnsiTheme="minorHAnsi" w:cstheme="minorHAnsi"/>
          <w:bCs/>
          <w:szCs w:val="22"/>
          <w:lang w:val="el-GR"/>
        </w:rPr>
        <w:t xml:space="preserve">. </w:t>
      </w:r>
      <w:proofErr w:type="spellStart"/>
      <w:r w:rsidRPr="00CC044F">
        <w:rPr>
          <w:rFonts w:asciiTheme="minorHAnsi" w:hAnsiTheme="minorHAnsi" w:cstheme="minorHAnsi"/>
          <w:bCs/>
          <w:szCs w:val="22"/>
          <w:lang w:val="el-GR"/>
        </w:rPr>
        <w:t>Διαγ</w:t>
      </w:r>
      <w:proofErr w:type="spellEnd"/>
      <w:r w:rsidRPr="00CC044F">
        <w:rPr>
          <w:rFonts w:asciiTheme="minorHAnsi" w:hAnsiTheme="minorHAnsi" w:cstheme="minorHAnsi"/>
          <w:bCs/>
          <w:szCs w:val="22"/>
          <w:lang w:val="el-GR"/>
        </w:rPr>
        <w:t>.: 91/2025. Ο διαγωνισμός με εκτιμώμενη αξία Εξακόσιες Εξήντα Χιλιάδες Ευρώ (€660.000,00) μη συμπεριλαμβανομένου του Φ.Π.Α, προκηρύχτηκε στις 5/11/2025 μέσω του ηλεκτρονικού συστήματος σύναψης συμβάσεων (</w:t>
      </w:r>
      <w:r w:rsidRPr="00CC044F">
        <w:rPr>
          <w:rFonts w:asciiTheme="minorHAnsi" w:hAnsiTheme="minorHAnsi" w:cstheme="minorHAnsi"/>
          <w:bCs/>
          <w:szCs w:val="22"/>
        </w:rPr>
        <w:t>e</w:t>
      </w:r>
      <w:r w:rsidRPr="00CC044F">
        <w:rPr>
          <w:rFonts w:asciiTheme="minorHAnsi" w:hAnsiTheme="minorHAnsi" w:cstheme="minorHAnsi"/>
          <w:bCs/>
          <w:szCs w:val="22"/>
          <w:lang w:val="el-GR"/>
        </w:rPr>
        <w:t>-</w:t>
      </w:r>
      <w:r w:rsidRPr="00CC044F">
        <w:rPr>
          <w:rFonts w:asciiTheme="minorHAnsi" w:hAnsiTheme="minorHAnsi" w:cstheme="minorHAnsi"/>
          <w:bCs/>
          <w:szCs w:val="22"/>
        </w:rPr>
        <w:t>procurement</w:t>
      </w:r>
      <w:r w:rsidRPr="00CC044F">
        <w:rPr>
          <w:rFonts w:asciiTheme="minorHAnsi" w:hAnsiTheme="minorHAnsi" w:cstheme="minorHAnsi"/>
          <w:bCs/>
          <w:szCs w:val="22"/>
          <w:lang w:val="el-GR"/>
        </w:rPr>
        <w:t>) με προθεσμία υποβολής τις 5/12/2025. Τ</w:t>
      </w:r>
      <w:r w:rsidRPr="00CC044F">
        <w:rPr>
          <w:rFonts w:asciiTheme="minorHAnsi" w:eastAsia="PMingLiU" w:hAnsiTheme="minorHAnsi" w:cstheme="minorHAnsi"/>
          <w:bCs/>
          <w:szCs w:val="22"/>
          <w:lang w:val="el-GR" w:eastAsia="zh-TW"/>
        </w:rPr>
        <w:t>α Έγγραφα του Διαγωνισμού</w:t>
      </w:r>
      <w:r w:rsidRPr="00CC044F">
        <w:rPr>
          <w:rFonts w:asciiTheme="minorHAnsi" w:hAnsiTheme="minorHAnsi" w:cstheme="minorHAnsi"/>
          <w:bCs/>
          <w:szCs w:val="22"/>
          <w:lang w:val="el-GR"/>
        </w:rPr>
        <w:t xml:space="preserve"> </w:t>
      </w:r>
      <w:r w:rsidRPr="00CC044F">
        <w:rPr>
          <w:rFonts w:asciiTheme="minorHAnsi" w:eastAsia="PMingLiU" w:hAnsiTheme="minorHAnsi" w:cstheme="minorHAnsi"/>
          <w:bCs/>
          <w:szCs w:val="22"/>
          <w:lang w:val="el-GR" w:eastAsia="zh-TW"/>
        </w:rPr>
        <w:t xml:space="preserve">ετοιμάστηκαν από την Τεχνική Υπηρεσία του Δήμου Λάρνακας και εγκρίθηκαν από την Επιτροπή Προσφορών του, απόφαση της </w:t>
      </w:r>
      <w:proofErr w:type="spellStart"/>
      <w:r w:rsidRPr="00CC044F">
        <w:rPr>
          <w:rFonts w:asciiTheme="minorHAnsi" w:eastAsia="PMingLiU" w:hAnsiTheme="minorHAnsi" w:cstheme="minorHAnsi"/>
          <w:bCs/>
          <w:szCs w:val="22"/>
          <w:lang w:val="el-GR" w:eastAsia="zh-TW"/>
        </w:rPr>
        <w:t>ημερ</w:t>
      </w:r>
      <w:proofErr w:type="spellEnd"/>
      <w:r w:rsidRPr="00CC044F">
        <w:rPr>
          <w:rFonts w:asciiTheme="minorHAnsi" w:eastAsia="PMingLiU" w:hAnsiTheme="minorHAnsi" w:cstheme="minorHAnsi"/>
          <w:bCs/>
          <w:szCs w:val="22"/>
          <w:lang w:val="el-GR" w:eastAsia="zh-TW"/>
        </w:rPr>
        <w:t xml:space="preserve">. 09/09/25, </w:t>
      </w:r>
      <w:proofErr w:type="spellStart"/>
      <w:r w:rsidRPr="00CC044F">
        <w:rPr>
          <w:rFonts w:asciiTheme="minorHAnsi" w:eastAsia="PMingLiU" w:hAnsiTheme="minorHAnsi" w:cstheme="minorHAnsi"/>
          <w:bCs/>
          <w:szCs w:val="22"/>
          <w:lang w:val="el-GR" w:eastAsia="zh-TW"/>
        </w:rPr>
        <w:t>αρ</w:t>
      </w:r>
      <w:proofErr w:type="spellEnd"/>
      <w:r w:rsidRPr="00CC044F">
        <w:rPr>
          <w:rFonts w:asciiTheme="minorHAnsi" w:eastAsia="PMingLiU" w:hAnsiTheme="minorHAnsi" w:cstheme="minorHAnsi"/>
          <w:bCs/>
          <w:szCs w:val="22"/>
          <w:lang w:val="el-GR" w:eastAsia="zh-TW"/>
        </w:rPr>
        <w:t xml:space="preserve">. </w:t>
      </w:r>
      <w:proofErr w:type="spellStart"/>
      <w:r w:rsidRPr="00CC044F">
        <w:rPr>
          <w:rFonts w:asciiTheme="minorHAnsi" w:eastAsia="PMingLiU" w:hAnsiTheme="minorHAnsi" w:cstheme="minorHAnsi"/>
          <w:bCs/>
          <w:szCs w:val="22"/>
          <w:lang w:val="el-GR" w:eastAsia="zh-TW"/>
        </w:rPr>
        <w:t>πρακτ</w:t>
      </w:r>
      <w:proofErr w:type="spellEnd"/>
      <w:r w:rsidRPr="00CC044F">
        <w:rPr>
          <w:rFonts w:asciiTheme="minorHAnsi" w:eastAsia="PMingLiU" w:hAnsiTheme="minorHAnsi" w:cstheme="minorHAnsi"/>
          <w:bCs/>
          <w:szCs w:val="22"/>
          <w:lang w:val="el-GR" w:eastAsia="zh-TW"/>
        </w:rPr>
        <w:t xml:space="preserve">. 19, θέμα 11 και επικυρώθηκαν από το Συμβούλιο Προσφορών ημερ.09/09/25, </w:t>
      </w:r>
      <w:proofErr w:type="spellStart"/>
      <w:r w:rsidRPr="00CC044F">
        <w:rPr>
          <w:rFonts w:asciiTheme="minorHAnsi" w:eastAsia="PMingLiU" w:hAnsiTheme="minorHAnsi" w:cstheme="minorHAnsi"/>
          <w:bCs/>
          <w:szCs w:val="22"/>
          <w:lang w:val="el-GR" w:eastAsia="zh-TW"/>
        </w:rPr>
        <w:t>αρ</w:t>
      </w:r>
      <w:proofErr w:type="spellEnd"/>
      <w:r w:rsidRPr="00CC044F">
        <w:rPr>
          <w:rFonts w:asciiTheme="minorHAnsi" w:eastAsia="PMingLiU" w:hAnsiTheme="minorHAnsi" w:cstheme="minorHAnsi"/>
          <w:bCs/>
          <w:szCs w:val="22"/>
          <w:lang w:val="el-GR" w:eastAsia="zh-TW"/>
        </w:rPr>
        <w:t xml:space="preserve">. </w:t>
      </w:r>
      <w:proofErr w:type="spellStart"/>
      <w:r w:rsidRPr="00CC044F">
        <w:rPr>
          <w:rFonts w:asciiTheme="minorHAnsi" w:eastAsia="PMingLiU" w:hAnsiTheme="minorHAnsi" w:cstheme="minorHAnsi"/>
          <w:bCs/>
          <w:szCs w:val="22"/>
          <w:lang w:val="el-GR" w:eastAsia="zh-TW"/>
        </w:rPr>
        <w:t>πρακτ</w:t>
      </w:r>
      <w:proofErr w:type="spellEnd"/>
      <w:r w:rsidRPr="00CC044F">
        <w:rPr>
          <w:rFonts w:asciiTheme="minorHAnsi" w:eastAsia="PMingLiU" w:hAnsiTheme="minorHAnsi" w:cstheme="minorHAnsi"/>
          <w:bCs/>
          <w:szCs w:val="22"/>
          <w:lang w:val="el-GR" w:eastAsia="zh-TW"/>
        </w:rPr>
        <w:t>. 13, θέμα 6.</w:t>
      </w:r>
      <w:r w:rsidRPr="00CC044F">
        <w:rPr>
          <w:rFonts w:asciiTheme="minorHAnsi" w:hAnsiTheme="minorHAnsi" w:cstheme="minorHAnsi"/>
          <w:bCs/>
          <w:szCs w:val="22"/>
          <w:lang w:val="el-GR"/>
        </w:rPr>
        <w:t xml:space="preserve"> </w:t>
      </w:r>
      <w:r w:rsidRPr="00CC044F">
        <w:rPr>
          <w:rFonts w:asciiTheme="minorHAnsi" w:eastAsia="Calibri" w:hAnsiTheme="minorHAnsi" w:cstheme="minorHAnsi"/>
          <w:bCs/>
          <w:szCs w:val="22"/>
          <w:lang w:val="el-GR"/>
        </w:rPr>
        <w:t xml:space="preserve">Ως μέλη της Επιτροπής Αξιολόγησης των Προσφορών, διορίστηκαν η </w:t>
      </w:r>
      <w:r w:rsidR="00487B66">
        <w:rPr>
          <w:rFonts w:ascii="Calibri" w:hAnsi="Calibri" w:cs="Calibri"/>
          <w:szCs w:val="22"/>
          <w:lang w:val="el-GR"/>
        </w:rPr>
        <w:t>ΧΧΧΧΧΧΧΧ</w:t>
      </w:r>
      <w:r w:rsidRPr="00CC044F">
        <w:rPr>
          <w:rFonts w:asciiTheme="minorHAnsi" w:eastAsia="Calibri" w:hAnsiTheme="minorHAnsi" w:cstheme="minorHAnsi"/>
          <w:bCs/>
          <w:szCs w:val="22"/>
          <w:lang w:val="el-GR"/>
        </w:rPr>
        <w:t xml:space="preserve">, ο </w:t>
      </w:r>
      <w:r w:rsidR="00487B66">
        <w:rPr>
          <w:rFonts w:ascii="Calibri" w:hAnsi="Calibri" w:cs="Calibri"/>
          <w:szCs w:val="22"/>
          <w:lang w:val="el-GR"/>
        </w:rPr>
        <w:t>ΧΧΧΧΧΧΧΧ</w:t>
      </w:r>
      <w:r w:rsidRPr="00CC044F">
        <w:rPr>
          <w:rFonts w:asciiTheme="minorHAnsi" w:eastAsia="Calibri" w:hAnsiTheme="minorHAnsi" w:cstheme="minorHAnsi"/>
          <w:bCs/>
          <w:szCs w:val="22"/>
          <w:lang w:val="el-GR"/>
        </w:rPr>
        <w:t xml:space="preserve"> και η </w:t>
      </w:r>
      <w:r w:rsidR="00487B66">
        <w:rPr>
          <w:rFonts w:ascii="Calibri" w:hAnsi="Calibri" w:cs="Calibri"/>
          <w:szCs w:val="22"/>
          <w:lang w:val="el-GR"/>
        </w:rPr>
        <w:t>ΧΧΧΧΧΧΧΧ</w:t>
      </w:r>
      <w:r w:rsidRPr="00CC044F">
        <w:rPr>
          <w:rFonts w:asciiTheme="minorHAnsi" w:eastAsia="Calibri" w:hAnsiTheme="minorHAnsi" w:cstheme="minorHAnsi"/>
          <w:bCs/>
          <w:szCs w:val="22"/>
          <w:lang w:val="el-GR"/>
        </w:rPr>
        <w:t xml:space="preserve">, σύμφωνα με απόφαση του Συμβουλίου Προσφορών του Δήμου Λάρνακας </w:t>
      </w:r>
      <w:proofErr w:type="spellStart"/>
      <w:r w:rsidRPr="00CC044F">
        <w:rPr>
          <w:rFonts w:asciiTheme="minorHAnsi" w:eastAsia="Calibri" w:hAnsiTheme="minorHAnsi" w:cstheme="minorHAnsi"/>
          <w:bCs/>
          <w:szCs w:val="22"/>
          <w:lang w:val="el-GR"/>
        </w:rPr>
        <w:t>ημερ</w:t>
      </w:r>
      <w:proofErr w:type="spellEnd"/>
      <w:r w:rsidRPr="00CC044F">
        <w:rPr>
          <w:rFonts w:asciiTheme="minorHAnsi" w:eastAsia="Calibri" w:hAnsiTheme="minorHAnsi" w:cstheme="minorHAnsi"/>
          <w:bCs/>
          <w:szCs w:val="22"/>
          <w:lang w:val="el-GR"/>
        </w:rPr>
        <w:t xml:space="preserve">. 09/09/25, </w:t>
      </w:r>
      <w:proofErr w:type="spellStart"/>
      <w:r w:rsidRPr="00CC044F">
        <w:rPr>
          <w:rFonts w:asciiTheme="minorHAnsi" w:eastAsia="Calibri" w:hAnsiTheme="minorHAnsi" w:cstheme="minorHAnsi"/>
          <w:bCs/>
          <w:szCs w:val="22"/>
          <w:lang w:val="el-GR"/>
        </w:rPr>
        <w:t>αρ</w:t>
      </w:r>
      <w:proofErr w:type="spellEnd"/>
      <w:r w:rsidRPr="00CC044F">
        <w:rPr>
          <w:rFonts w:asciiTheme="minorHAnsi" w:eastAsia="Calibri" w:hAnsiTheme="minorHAnsi" w:cstheme="minorHAnsi"/>
          <w:bCs/>
          <w:szCs w:val="22"/>
          <w:lang w:val="el-GR"/>
        </w:rPr>
        <w:t xml:space="preserve">. </w:t>
      </w:r>
      <w:proofErr w:type="spellStart"/>
      <w:r w:rsidRPr="00CC044F">
        <w:rPr>
          <w:rFonts w:asciiTheme="minorHAnsi" w:eastAsia="Calibri" w:hAnsiTheme="minorHAnsi" w:cstheme="minorHAnsi"/>
          <w:bCs/>
          <w:szCs w:val="22"/>
          <w:lang w:val="el-GR"/>
        </w:rPr>
        <w:t>πρακτ</w:t>
      </w:r>
      <w:proofErr w:type="spellEnd"/>
      <w:r w:rsidRPr="00CC044F">
        <w:rPr>
          <w:rFonts w:asciiTheme="minorHAnsi" w:eastAsia="Calibri" w:hAnsiTheme="minorHAnsi" w:cstheme="minorHAnsi"/>
          <w:bCs/>
          <w:szCs w:val="22"/>
          <w:lang w:val="el-GR"/>
        </w:rPr>
        <w:t>. 13, θέμα 6.</w:t>
      </w:r>
    </w:p>
    <w:p w14:paraId="3E628CAE" w14:textId="77777777" w:rsidR="00016A44" w:rsidRPr="00CC044F" w:rsidRDefault="00016A44" w:rsidP="00016A44">
      <w:pPr>
        <w:spacing w:line="276" w:lineRule="auto"/>
        <w:jc w:val="both"/>
        <w:rPr>
          <w:rFonts w:asciiTheme="minorHAnsi" w:eastAsia="PMingLiU" w:hAnsiTheme="minorHAnsi" w:cstheme="minorHAnsi"/>
          <w:bCs/>
          <w:szCs w:val="22"/>
          <w:u w:val="single"/>
          <w:lang w:val="el-GR" w:eastAsia="zh-TW"/>
        </w:rPr>
      </w:pPr>
      <w:r w:rsidRPr="00CC044F">
        <w:rPr>
          <w:rFonts w:asciiTheme="minorHAnsi" w:eastAsia="Calibri" w:hAnsiTheme="minorHAnsi" w:cstheme="minorHAnsi"/>
          <w:bCs/>
          <w:color w:val="FF0000"/>
          <w:szCs w:val="22"/>
          <w:lang w:val="el-GR"/>
        </w:rPr>
        <w:t xml:space="preserve"> </w:t>
      </w:r>
    </w:p>
    <w:p w14:paraId="65BBC2C1" w14:textId="1014713F" w:rsidR="00016A44" w:rsidRPr="00CC044F" w:rsidRDefault="00016A44" w:rsidP="00016A44">
      <w:pPr>
        <w:spacing w:line="276" w:lineRule="auto"/>
        <w:jc w:val="both"/>
        <w:rPr>
          <w:rFonts w:asciiTheme="minorHAnsi" w:hAnsiTheme="minorHAnsi" w:cstheme="minorHAnsi"/>
          <w:bCs/>
          <w:szCs w:val="22"/>
          <w:lang w:val="el-GR" w:eastAsia="en-GB"/>
        </w:rPr>
      </w:pPr>
      <w:bookmarkStart w:id="0" w:name="_Hlk8213818"/>
      <w:r w:rsidRPr="00CC044F">
        <w:rPr>
          <w:rFonts w:asciiTheme="minorHAnsi" w:hAnsiTheme="minorHAnsi" w:cstheme="minorHAnsi"/>
          <w:bCs/>
          <w:szCs w:val="22"/>
          <w:lang w:val="el-GR" w:eastAsia="en-GB"/>
        </w:rPr>
        <w:t xml:space="preserve">Με τη λήξη του διαγωνισμού, και αφού έγινε η αποσφράγιση διαπιστώθηκε ότι υποβλήθηκε μια προσφορά από την εταιρεία </w:t>
      </w:r>
      <w:r w:rsidR="00487B66">
        <w:rPr>
          <w:rFonts w:ascii="Calibri" w:hAnsi="Calibri" w:cs="Calibri"/>
          <w:szCs w:val="22"/>
          <w:lang w:val="el-GR"/>
        </w:rPr>
        <w:t xml:space="preserve">ΧΧΧΧΧΧΧΧ </w:t>
      </w:r>
      <w:r w:rsidRPr="00CC044F">
        <w:rPr>
          <w:rFonts w:asciiTheme="minorHAnsi" w:hAnsiTheme="minorHAnsi" w:cstheme="minorHAnsi"/>
          <w:bCs/>
          <w:szCs w:val="22"/>
          <w:lang w:val="el-GR" w:eastAsia="en-GB"/>
        </w:rPr>
        <w:t>ύψους €699.445,00+Φ.Π.Α..</w:t>
      </w:r>
    </w:p>
    <w:bookmarkEnd w:id="0"/>
    <w:p w14:paraId="6F2B5441" w14:textId="77777777" w:rsidR="00016A44" w:rsidRPr="00CC044F" w:rsidRDefault="00016A44" w:rsidP="00016A44">
      <w:pPr>
        <w:spacing w:line="276" w:lineRule="auto"/>
        <w:jc w:val="both"/>
        <w:rPr>
          <w:rFonts w:asciiTheme="minorHAnsi" w:hAnsiTheme="minorHAnsi" w:cstheme="minorHAnsi"/>
          <w:bCs/>
          <w:szCs w:val="22"/>
          <w:lang w:val="el-GR" w:eastAsia="en-GB"/>
        </w:rPr>
      </w:pPr>
    </w:p>
    <w:p w14:paraId="6C4C4243" w14:textId="77777777" w:rsidR="00016A44" w:rsidRPr="00CC044F" w:rsidRDefault="00016A44" w:rsidP="00016A44">
      <w:pPr>
        <w:spacing w:line="276" w:lineRule="auto"/>
        <w:jc w:val="both"/>
        <w:rPr>
          <w:rFonts w:asciiTheme="minorHAnsi" w:eastAsia="PMingLiU" w:hAnsiTheme="minorHAnsi" w:cstheme="minorHAnsi"/>
          <w:bCs/>
          <w:szCs w:val="22"/>
          <w:u w:val="single"/>
          <w:lang w:val="el-GR" w:eastAsia="zh-TW"/>
        </w:rPr>
      </w:pPr>
      <w:r w:rsidRPr="00CC044F">
        <w:rPr>
          <w:rFonts w:asciiTheme="minorHAnsi" w:hAnsiTheme="minorHAnsi" w:cstheme="minorHAnsi"/>
          <w:bCs/>
          <w:szCs w:val="22"/>
          <w:lang w:val="el-GR" w:eastAsia="en-GB"/>
        </w:rPr>
        <w:t xml:space="preserve">Η προσφορά ικανοποιούσε τις προϋποθέσεις συμμετοχής σύμφωνα με την επιτροπή αξιολόγησης και ακολούθως ελέγχθηκε η Τεχνική Προσφορά η οποία ήταν επίσης δεόντως συμπληρωμένη, </w:t>
      </w:r>
      <w:proofErr w:type="spellStart"/>
      <w:r w:rsidRPr="00CC044F">
        <w:rPr>
          <w:rFonts w:asciiTheme="minorHAnsi" w:hAnsiTheme="minorHAnsi" w:cstheme="minorHAnsi"/>
          <w:bCs/>
          <w:szCs w:val="22"/>
          <w:lang w:val="el-GR" w:eastAsia="en-GB"/>
        </w:rPr>
        <w:t>γι</w:t>
      </w:r>
      <w:proofErr w:type="spellEnd"/>
      <w:r w:rsidRPr="00CC044F">
        <w:rPr>
          <w:rFonts w:asciiTheme="minorHAnsi" w:hAnsiTheme="minorHAnsi" w:cstheme="minorHAnsi"/>
          <w:bCs/>
          <w:szCs w:val="22"/>
          <w:lang w:val="el-GR" w:eastAsia="en-GB"/>
        </w:rPr>
        <w:t>΄ αυτό και η Επιτροπή Αξιολόγησης προχώρησε στην περαιτέρω αξιολόγηση της.</w:t>
      </w:r>
    </w:p>
    <w:p w14:paraId="4496FFE6" w14:textId="77777777" w:rsidR="00016A44" w:rsidRPr="00CC044F" w:rsidRDefault="00016A44" w:rsidP="00016A44">
      <w:pPr>
        <w:spacing w:line="276" w:lineRule="auto"/>
        <w:jc w:val="both"/>
        <w:rPr>
          <w:rFonts w:asciiTheme="minorHAnsi" w:eastAsia="PMingLiU" w:hAnsiTheme="minorHAnsi" w:cstheme="minorHAnsi"/>
          <w:bCs/>
          <w:szCs w:val="22"/>
          <w:u w:val="single"/>
          <w:lang w:val="el-GR" w:eastAsia="zh-TW"/>
        </w:rPr>
      </w:pPr>
    </w:p>
    <w:p w14:paraId="6FE3E242" w14:textId="77777777" w:rsidR="00016A44" w:rsidRPr="00CC044F" w:rsidRDefault="00016A44" w:rsidP="00016A44">
      <w:pPr>
        <w:spacing w:line="276" w:lineRule="auto"/>
        <w:jc w:val="both"/>
        <w:rPr>
          <w:rFonts w:asciiTheme="minorHAnsi" w:eastAsia="PMingLiU" w:hAnsiTheme="minorHAnsi" w:cstheme="minorHAnsi"/>
          <w:bCs/>
          <w:szCs w:val="22"/>
          <w:u w:val="single"/>
          <w:lang w:val="el-GR" w:eastAsia="zh-TW"/>
        </w:rPr>
      </w:pPr>
      <w:r w:rsidRPr="00CC044F">
        <w:rPr>
          <w:rFonts w:asciiTheme="minorHAnsi" w:eastAsia="PMingLiU" w:hAnsiTheme="minorHAnsi" w:cstheme="minorHAnsi"/>
          <w:bCs/>
          <w:szCs w:val="22"/>
          <w:lang w:val="el-GR" w:eastAsia="zh-TW"/>
        </w:rPr>
        <w:t xml:space="preserve">Ακολούθως η Επιτροπή ενημερώνεται ότι η Επιτροπή Αξιολόγησης, κατά τον έλεγχο της οικονομικής προσφοράς του προσφέροντα, προέβη σε εξέταση των τιμών μονάδας σε συνάρτηση με τον εγκεκριμένο προϋπολογισμό της μελέτης και το Δελτίο Ποσοτήτων. </w:t>
      </w:r>
    </w:p>
    <w:p w14:paraId="146BF7AA" w14:textId="77777777" w:rsidR="00016A44" w:rsidRPr="00CC044F" w:rsidRDefault="00016A44" w:rsidP="00016A44">
      <w:pPr>
        <w:spacing w:line="276"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Η οικονομική αξιολόγηση της υποβληθείσας προσφοράς διενεργήθηκε με βάση τα αριθμητικά δεδομένα που περιλαμβάνονταν στο Δελτίο Ποσοτήτων, το οποίο αποτελούσε αναπόσπαστο μέρος των εγγράφων του διαγωνισμού. Με βάση τα εν λόγω δεδομένα, η εκτιμώμενη αξία του διαγωνισμού ανερχόταν στο ποσό των €660.000 πλέον ΦΠΑ, ενώ η μοναδική υποβληθείσα οικονομική προσφορά ανερχόταν στο ποσό των €699.445 πλέον ΦΠΑ, παρουσιάζοντας απόκλιση της τάξης του 6% σε σχέση με την εκτιμώμενη αξία.</w:t>
      </w:r>
    </w:p>
    <w:p w14:paraId="0D08E7A3" w14:textId="77777777" w:rsidR="00016A44" w:rsidRPr="00CC044F" w:rsidRDefault="00016A44" w:rsidP="00016A44">
      <w:pPr>
        <w:spacing w:line="276"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 xml:space="preserve">Στο πλαίσιο αυτό, και λαμβάνοντας υπόψη τα πιο πάνω οικονομικά στοιχεία, η προσφορά θεωρήθηκε ότι κινείται εντός εύλογων ορίων απόκλισης και η οικονομική αξιολόγηση ολοκληρώθηκε βάσει των εν λόγω αριθμητικών δεδομένων. </w:t>
      </w:r>
    </w:p>
    <w:p w14:paraId="29AB1881" w14:textId="77777777" w:rsidR="00016A44" w:rsidRPr="00CC044F" w:rsidRDefault="00016A44" w:rsidP="00016A44">
      <w:pPr>
        <w:spacing w:line="276" w:lineRule="auto"/>
        <w:jc w:val="both"/>
        <w:rPr>
          <w:rFonts w:asciiTheme="minorHAnsi" w:eastAsia="PMingLiU" w:hAnsiTheme="minorHAnsi" w:cstheme="minorHAnsi"/>
          <w:bCs/>
          <w:szCs w:val="22"/>
          <w:lang w:val="el-GR" w:eastAsia="zh-TW"/>
        </w:rPr>
      </w:pPr>
    </w:p>
    <w:p w14:paraId="23D7E0DC" w14:textId="04B53BA3" w:rsidR="00016A44" w:rsidRPr="00CC044F" w:rsidRDefault="00016A44" w:rsidP="00016A44">
      <w:pPr>
        <w:spacing w:line="276"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 xml:space="preserve">Η Επιτροπή Προσφορών ενημερώνεται ότι μετά την ολοκλήρωση της οικονομικής αξιολόγησης πιο πάνω, η Υπηρεσία ενημερώθηκε τηλεφωνικώς από τον κ. </w:t>
      </w:r>
      <w:r w:rsidR="00487B66">
        <w:rPr>
          <w:rFonts w:ascii="Calibri" w:hAnsi="Calibri" w:cs="Calibri"/>
          <w:szCs w:val="22"/>
          <w:lang w:val="el-GR"/>
        </w:rPr>
        <w:t>ΧΧΧΧΧΧΧΧ</w:t>
      </w:r>
      <w:r w:rsidRPr="00CC044F">
        <w:rPr>
          <w:rFonts w:asciiTheme="minorHAnsi" w:eastAsia="PMingLiU" w:hAnsiTheme="minorHAnsi" w:cstheme="minorHAnsi"/>
          <w:bCs/>
          <w:szCs w:val="22"/>
          <w:lang w:val="el-GR" w:eastAsia="zh-TW"/>
        </w:rPr>
        <w:t xml:space="preserve">, </w:t>
      </w:r>
      <w:proofErr w:type="spellStart"/>
      <w:r w:rsidRPr="00CC044F">
        <w:rPr>
          <w:rFonts w:asciiTheme="minorHAnsi" w:eastAsia="PMingLiU" w:hAnsiTheme="minorHAnsi" w:cstheme="minorHAnsi"/>
          <w:bCs/>
          <w:szCs w:val="22"/>
          <w:lang w:val="el-GR" w:eastAsia="zh-TW"/>
        </w:rPr>
        <w:t>Επιμετρητή</w:t>
      </w:r>
      <w:proofErr w:type="spellEnd"/>
      <w:r w:rsidRPr="00CC044F">
        <w:rPr>
          <w:rFonts w:asciiTheme="minorHAnsi" w:eastAsia="PMingLiU" w:hAnsiTheme="minorHAnsi" w:cstheme="minorHAnsi"/>
          <w:bCs/>
          <w:szCs w:val="22"/>
          <w:lang w:val="el-GR" w:eastAsia="zh-TW"/>
        </w:rPr>
        <w:t xml:space="preserve"> Ποσοτήτων του έργου, ο οποίος είχε αναλάβει την ετοιμασία του Δελτίου Ποσοτήτων εκ μέρους του Δήμου, ότι είχε εντοπίσει αριθμητικό σφάλμα στο άθροισμα των συνόλων του εν λόγω Δελτίου Ποσοτήτων, το οποίο οφειλόταν σε λανθασμένη εφαρμογή αριθμητικής φόρμουλας κατά την ετοιμασία του. Πιο συγκεκριμένα, λόγω λανθασμένης αριθμητικής φόρμουλας, δεν είχε συμπεριληφθεί στο τελικό άθροισμα η στήλη των απροβλέπτων, με αποτέλεσμα το συνολικό ποσό του Δελτίου Ποσοτήτων να είναι εσφαλμένο. Ως συνέπεια του πιο πάνω σφάλματος:</w:t>
      </w:r>
    </w:p>
    <w:p w14:paraId="2BDA2327" w14:textId="77777777" w:rsidR="00016A44" w:rsidRPr="00CC044F" w:rsidRDefault="00016A44" w:rsidP="00016A44">
      <w:pPr>
        <w:numPr>
          <w:ilvl w:val="0"/>
          <w:numId w:val="63"/>
        </w:numPr>
        <w:spacing w:line="276"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lastRenderedPageBreak/>
        <w:t>η εκτιμώμενη αξία του διαγωνισμού διαφοροποιείται, και</w:t>
      </w:r>
    </w:p>
    <w:p w14:paraId="6A8350BA" w14:textId="77777777" w:rsidR="00016A44" w:rsidRPr="00CC044F" w:rsidRDefault="00016A44" w:rsidP="00016A44">
      <w:pPr>
        <w:numPr>
          <w:ilvl w:val="0"/>
          <w:numId w:val="63"/>
        </w:numPr>
        <w:spacing w:line="276"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αντίστοιχα, η υποβληθείσα οικονομική προσφορά, η οποία βασίστηκε στο ίδιο Δελτίο Ποσοτήτων, δεν αποτυπώνει σωστά το συνολικό κόστος της σύμβασης.</w:t>
      </w:r>
    </w:p>
    <w:p w14:paraId="4ABCED4D" w14:textId="77777777" w:rsidR="00016A44" w:rsidRPr="00CC044F" w:rsidRDefault="00016A44" w:rsidP="00016A44">
      <w:pPr>
        <w:spacing w:line="276" w:lineRule="auto"/>
        <w:ind w:left="720"/>
        <w:jc w:val="both"/>
        <w:rPr>
          <w:rFonts w:asciiTheme="minorHAnsi" w:eastAsia="PMingLiU" w:hAnsiTheme="minorHAnsi" w:cstheme="minorHAnsi"/>
          <w:bCs/>
          <w:szCs w:val="22"/>
          <w:lang w:val="el-GR" w:eastAsia="zh-TW"/>
        </w:rPr>
      </w:pPr>
    </w:p>
    <w:p w14:paraId="4CE874DE" w14:textId="77777777" w:rsidR="00016A44" w:rsidRPr="00CC044F" w:rsidRDefault="00016A44" w:rsidP="00016A44">
      <w:pPr>
        <w:spacing w:line="276"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Ακολούθως η Επιτροπή ενημερώνεται  ότι μετά τη διόρθωση του αριθμητικού σφάλματος και την ορθή προσθήκη της στήλης των απροβλέπτων, το συνολικό ποσό της προσφοράς αναπροσαρμόστηκε στο ποσό των €805.205 πλέον ΦΠΑ</w:t>
      </w:r>
    </w:p>
    <w:p w14:paraId="0CD856F2" w14:textId="77777777" w:rsidR="00016A44" w:rsidRPr="00CC044F" w:rsidRDefault="00016A44" w:rsidP="00016A44">
      <w:pPr>
        <w:spacing w:line="276"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 xml:space="preserve">  </w:t>
      </w:r>
    </w:p>
    <w:p w14:paraId="628C43C6" w14:textId="77777777" w:rsidR="00016A44" w:rsidRPr="00CC044F" w:rsidRDefault="00016A44" w:rsidP="00016A44">
      <w:pPr>
        <w:tabs>
          <w:tab w:val="left" w:pos="709"/>
        </w:tabs>
        <w:spacing w:line="276"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noProof/>
          <w:szCs w:val="22"/>
          <w:lang w:val="el-GR" w:eastAsia="zh-TW"/>
        </w:rPr>
        <mc:AlternateContent>
          <mc:Choice Requires="wps">
            <w:drawing>
              <wp:anchor distT="0" distB="0" distL="114300" distR="114300" simplePos="0" relativeHeight="251659264" behindDoc="0" locked="0" layoutInCell="1" allowOverlap="1" wp14:anchorId="6D1C7ED8" wp14:editId="793B1169">
                <wp:simplePos x="0" y="0"/>
                <wp:positionH relativeFrom="column">
                  <wp:posOffset>-1885950</wp:posOffset>
                </wp:positionH>
                <wp:positionV relativeFrom="paragraph">
                  <wp:posOffset>377825</wp:posOffset>
                </wp:positionV>
                <wp:extent cx="381635" cy="0"/>
                <wp:effectExtent l="9525" t="6985" r="8890" b="12065"/>
                <wp:wrapNone/>
                <wp:docPr id="192722457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4FD3B" id="_x0000_t32" coordsize="21600,21600" o:spt="32" o:oned="t" path="m,l21600,21600e" filled="f">
                <v:path arrowok="t" fillok="f" o:connecttype="none"/>
                <o:lock v:ext="edit" shapetype="t"/>
              </v:shapetype>
              <v:shape id="Straight Arrow Connector 3" o:spid="_x0000_s1026" type="#_x0000_t32" style="position:absolute;margin-left:-148.5pt;margin-top:29.75pt;width:3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vatwEAAFU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"/>
            </w:pict>
          </mc:Fallback>
        </mc:AlternateContent>
      </w:r>
      <w:r w:rsidRPr="00CC044F">
        <w:rPr>
          <w:rFonts w:asciiTheme="minorHAnsi" w:eastAsia="PMingLiU" w:hAnsiTheme="minorHAnsi" w:cstheme="minorHAnsi"/>
          <w:bCs/>
          <w:szCs w:val="22"/>
          <w:lang w:val="el-GR" w:eastAsia="zh-TW"/>
        </w:rPr>
        <w:t xml:space="preserve">Στη συνέχεια η Επιτροπή ενημερώνεται, από την Επιτροπή Αξιολόγησης καταρτίστηκαν οι πιο κάτω Πίνακες, στους οποίους παρουσιάζονται συγκριτικά τα οικονομικά στοιχεία της υποβληθείσας προσφοράς, αφενός βάσει των αρχικών αριθμητικών δεδομένων και αφετέρου μετά τη διόρθωση του </w:t>
      </w:r>
      <w:proofErr w:type="spellStart"/>
      <w:r w:rsidRPr="00CC044F">
        <w:rPr>
          <w:rFonts w:asciiTheme="minorHAnsi" w:eastAsia="PMingLiU" w:hAnsiTheme="minorHAnsi" w:cstheme="minorHAnsi"/>
          <w:bCs/>
          <w:szCs w:val="22"/>
          <w:lang w:val="el-GR" w:eastAsia="zh-TW"/>
        </w:rPr>
        <w:t>εντοπισθέντος</w:t>
      </w:r>
      <w:proofErr w:type="spellEnd"/>
      <w:r w:rsidRPr="00CC044F">
        <w:rPr>
          <w:rFonts w:asciiTheme="minorHAnsi" w:eastAsia="PMingLiU" w:hAnsiTheme="minorHAnsi" w:cstheme="minorHAnsi"/>
          <w:bCs/>
          <w:szCs w:val="22"/>
          <w:lang w:val="el-GR" w:eastAsia="zh-TW"/>
        </w:rPr>
        <w:t xml:space="preserve"> αριθμητικού σφάλματος.</w:t>
      </w:r>
    </w:p>
    <w:p w14:paraId="3A10F62C" w14:textId="77777777" w:rsidR="00016A44" w:rsidRPr="00CC044F" w:rsidRDefault="00016A44" w:rsidP="00016A44">
      <w:pPr>
        <w:spacing w:line="240" w:lineRule="auto"/>
        <w:jc w:val="both"/>
        <w:rPr>
          <w:rFonts w:asciiTheme="minorHAnsi" w:eastAsia="PMingLiU" w:hAnsiTheme="minorHAnsi" w:cstheme="minorHAnsi"/>
          <w:bCs/>
          <w:szCs w:val="22"/>
          <w:lang w:val="el-GR" w:eastAsia="zh-TW"/>
        </w:rPr>
      </w:pPr>
    </w:p>
    <w:p w14:paraId="37C0B766" w14:textId="77777777" w:rsidR="00016A44" w:rsidRPr="00CC044F" w:rsidRDefault="00016A44" w:rsidP="00016A44">
      <w:pPr>
        <w:spacing w:line="240" w:lineRule="auto"/>
        <w:jc w:val="both"/>
        <w:rPr>
          <w:rFonts w:asciiTheme="minorHAnsi" w:hAnsiTheme="minorHAnsi" w:cstheme="minorHAnsi"/>
          <w:bCs/>
          <w:szCs w:val="22"/>
          <w:lang w:val="el-GR"/>
        </w:rPr>
      </w:pPr>
      <w:r w:rsidRPr="00CC044F">
        <w:rPr>
          <w:rFonts w:asciiTheme="minorHAnsi" w:hAnsiTheme="minorHAnsi" w:cstheme="minorHAnsi"/>
          <w:bCs/>
          <w:szCs w:val="22"/>
          <w:lang w:val="el-GR"/>
        </w:rPr>
        <w:t>ΠΙΝΑΚΑΣ 1. ΣΤΟΙΧΕΙΑ ΜΕ ΒΑΣΗ ΤΗΝ ΑΡΧΙΚΗ ΥΠΟΒΛΗΘΕΙΣΑ ΠΡΟΣΦΟΡΑ</w:t>
      </w:r>
    </w:p>
    <w:tbl>
      <w:tblPr>
        <w:tblW w:w="91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0"/>
        <w:gridCol w:w="2970"/>
        <w:gridCol w:w="2250"/>
        <w:gridCol w:w="3330"/>
      </w:tblGrid>
      <w:tr w:rsidR="00016A44" w:rsidRPr="00487B66" w14:paraId="23F285BD" w14:textId="77777777" w:rsidTr="00353922">
        <w:tc>
          <w:tcPr>
            <w:tcW w:w="630" w:type="dxa"/>
            <w:vAlign w:val="center"/>
          </w:tcPr>
          <w:p w14:paraId="77488D7B" w14:textId="77777777" w:rsidR="00016A44" w:rsidRPr="00CC044F" w:rsidRDefault="00016A44" w:rsidP="00353922">
            <w:pPr>
              <w:spacing w:line="240"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Α/Α</w:t>
            </w:r>
          </w:p>
        </w:tc>
        <w:tc>
          <w:tcPr>
            <w:tcW w:w="2970" w:type="dxa"/>
            <w:vAlign w:val="center"/>
          </w:tcPr>
          <w:p w14:paraId="3568A830" w14:textId="77777777" w:rsidR="00016A44" w:rsidRPr="00CC044F" w:rsidRDefault="00016A44" w:rsidP="00353922">
            <w:pPr>
              <w:spacing w:line="240"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ΟΝΟΜΑ ΤΟΥ ΠΡΟΣΦΕΡΟΝΤΑ</w:t>
            </w:r>
          </w:p>
        </w:tc>
        <w:tc>
          <w:tcPr>
            <w:tcW w:w="2250" w:type="dxa"/>
            <w:vAlign w:val="center"/>
          </w:tcPr>
          <w:p w14:paraId="0B0900B3" w14:textId="77777777" w:rsidR="00016A44" w:rsidRPr="00CC044F" w:rsidRDefault="00016A44" w:rsidP="00353922">
            <w:pPr>
              <w:spacing w:line="240"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ΠΟΣΟ/ΤΙΜΗ ΤΗΣ ΠΡΟΣΦΟΡΑΣ ΤΟΥ ΠΡΟΣΦΕΡΟΝΤΑ</w:t>
            </w:r>
          </w:p>
        </w:tc>
        <w:tc>
          <w:tcPr>
            <w:tcW w:w="3330" w:type="dxa"/>
          </w:tcPr>
          <w:p w14:paraId="736C7C89" w14:textId="77777777" w:rsidR="00016A44" w:rsidRPr="00CC044F" w:rsidRDefault="00016A44" w:rsidP="00353922">
            <w:pPr>
              <w:spacing w:line="240" w:lineRule="auto"/>
              <w:ind w:left="27" w:right="172" w:firstLine="141"/>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ΠΟΣΟΣΤΙΑΙΑ                                                                                                                                                                                                                                                           ΑΠΟΚΛΙΣΗ ΑΠΟ ΤΗΝ  ΕΚΤΙΜΗΜΕΝΗ ΑΞΙΑ ΤΟΥ ΔΙΑΓΩΝΙΣΜΟΥ (€660.000,00+Φ.Π.Α.)</w:t>
            </w:r>
          </w:p>
        </w:tc>
      </w:tr>
      <w:tr w:rsidR="00016A44" w:rsidRPr="00CC044F" w14:paraId="021A7133" w14:textId="77777777" w:rsidTr="00353922">
        <w:trPr>
          <w:trHeight w:val="596"/>
        </w:trPr>
        <w:tc>
          <w:tcPr>
            <w:tcW w:w="630" w:type="dxa"/>
            <w:vAlign w:val="center"/>
          </w:tcPr>
          <w:p w14:paraId="2A0161C7" w14:textId="77777777" w:rsidR="00016A44" w:rsidRPr="00CC044F" w:rsidRDefault="00016A44" w:rsidP="00353922">
            <w:pPr>
              <w:spacing w:line="240"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1</w:t>
            </w:r>
          </w:p>
        </w:tc>
        <w:tc>
          <w:tcPr>
            <w:tcW w:w="2970" w:type="dxa"/>
          </w:tcPr>
          <w:p w14:paraId="1210D907" w14:textId="51A5F7A4" w:rsidR="00016A44" w:rsidRPr="00CC044F" w:rsidRDefault="00487B66" w:rsidP="00353922">
            <w:pPr>
              <w:spacing w:line="240" w:lineRule="auto"/>
              <w:jc w:val="both"/>
              <w:rPr>
                <w:rFonts w:asciiTheme="minorHAnsi" w:eastAsia="PMingLiU" w:hAnsiTheme="minorHAnsi" w:cstheme="minorHAnsi"/>
                <w:bCs/>
                <w:szCs w:val="22"/>
                <w:lang w:eastAsia="zh-TW"/>
              </w:rPr>
            </w:pPr>
            <w:r>
              <w:rPr>
                <w:rFonts w:ascii="Calibri" w:hAnsi="Calibri" w:cs="Calibri"/>
                <w:szCs w:val="22"/>
                <w:lang w:val="el-GR"/>
              </w:rPr>
              <w:t>ΧΧΧΧΧΧΧΧ</w:t>
            </w:r>
          </w:p>
        </w:tc>
        <w:tc>
          <w:tcPr>
            <w:tcW w:w="2250" w:type="dxa"/>
            <w:vAlign w:val="bottom"/>
          </w:tcPr>
          <w:p w14:paraId="2B628AD4" w14:textId="77777777" w:rsidR="00016A44" w:rsidRPr="00CC044F" w:rsidRDefault="00016A44" w:rsidP="00353922">
            <w:pPr>
              <w:spacing w:line="240"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€699.445,00+Φ.Π.Α.</w:t>
            </w:r>
          </w:p>
          <w:p w14:paraId="7E74C413" w14:textId="77777777" w:rsidR="00016A44" w:rsidRPr="00CC044F" w:rsidRDefault="00016A44" w:rsidP="00353922">
            <w:pPr>
              <w:spacing w:line="240" w:lineRule="auto"/>
              <w:jc w:val="both"/>
              <w:rPr>
                <w:rFonts w:asciiTheme="minorHAnsi" w:hAnsiTheme="minorHAnsi" w:cstheme="minorHAnsi"/>
                <w:bCs/>
                <w:szCs w:val="22"/>
                <w:lang w:val="el-GR"/>
              </w:rPr>
            </w:pPr>
          </w:p>
        </w:tc>
        <w:tc>
          <w:tcPr>
            <w:tcW w:w="3330" w:type="dxa"/>
            <w:vAlign w:val="center"/>
          </w:tcPr>
          <w:p w14:paraId="6092FDAB" w14:textId="77777777" w:rsidR="00016A44" w:rsidRPr="00CC044F" w:rsidRDefault="00016A44" w:rsidP="00353922">
            <w:pPr>
              <w:spacing w:line="240" w:lineRule="auto"/>
              <w:ind w:right="162"/>
              <w:jc w:val="both"/>
              <w:rPr>
                <w:rFonts w:asciiTheme="minorHAnsi" w:hAnsiTheme="minorHAnsi" w:cstheme="minorHAnsi"/>
                <w:bCs/>
                <w:szCs w:val="22"/>
                <w:lang w:val="el-GR"/>
              </w:rPr>
            </w:pPr>
            <w:r w:rsidRPr="00CC044F">
              <w:rPr>
                <w:rFonts w:asciiTheme="minorHAnsi" w:hAnsiTheme="minorHAnsi" w:cstheme="minorHAnsi"/>
                <w:bCs/>
                <w:szCs w:val="22"/>
                <w:lang w:val="el-GR"/>
              </w:rPr>
              <w:t>5,98%</w:t>
            </w:r>
          </w:p>
        </w:tc>
      </w:tr>
    </w:tbl>
    <w:p w14:paraId="4B757077" w14:textId="77777777" w:rsidR="00016A44" w:rsidRPr="00CC044F" w:rsidRDefault="00016A44" w:rsidP="00016A44">
      <w:pPr>
        <w:spacing w:line="240" w:lineRule="auto"/>
        <w:jc w:val="both"/>
        <w:rPr>
          <w:rFonts w:asciiTheme="minorHAnsi" w:hAnsiTheme="minorHAnsi" w:cstheme="minorHAnsi"/>
          <w:bCs/>
          <w:szCs w:val="22"/>
          <w:u w:val="single"/>
          <w:lang w:val="el-GR"/>
        </w:rPr>
      </w:pPr>
    </w:p>
    <w:p w14:paraId="7368753F" w14:textId="77777777" w:rsidR="00016A44" w:rsidRPr="00CC044F" w:rsidRDefault="00016A44" w:rsidP="00016A44">
      <w:pPr>
        <w:spacing w:line="240" w:lineRule="auto"/>
        <w:jc w:val="both"/>
        <w:rPr>
          <w:rFonts w:asciiTheme="minorHAnsi" w:hAnsiTheme="minorHAnsi" w:cstheme="minorHAnsi"/>
          <w:bCs/>
          <w:szCs w:val="22"/>
          <w:lang w:val="el-GR"/>
        </w:rPr>
      </w:pPr>
    </w:p>
    <w:p w14:paraId="0966F7F0" w14:textId="77777777" w:rsidR="00016A44" w:rsidRPr="00CC044F" w:rsidRDefault="00016A44" w:rsidP="00016A44">
      <w:pPr>
        <w:spacing w:line="240" w:lineRule="auto"/>
        <w:jc w:val="both"/>
        <w:rPr>
          <w:rFonts w:asciiTheme="minorHAnsi" w:hAnsiTheme="minorHAnsi" w:cstheme="minorHAnsi"/>
          <w:bCs/>
          <w:szCs w:val="22"/>
          <w:lang w:val="el-GR"/>
        </w:rPr>
      </w:pPr>
      <w:r w:rsidRPr="00CC044F">
        <w:rPr>
          <w:rFonts w:asciiTheme="minorHAnsi" w:hAnsiTheme="minorHAnsi" w:cstheme="minorHAnsi"/>
          <w:bCs/>
          <w:szCs w:val="22"/>
          <w:lang w:val="el-GR"/>
        </w:rPr>
        <w:t>ΠΙΝΑΚΑΣ 2. ΣΤΟΙΧΕΙΑ ΜΕΤΑ ΚΑΙ ΤΗΝ ΑΡΙΘΜΗΤΙΚΗ ΔΙΟΡΘΩΣΗ ΤΗΣ ΥΠΟΒΛΗΘΕΙΣΑΣ ΠΡΟΣΦΟΡΑΣ</w:t>
      </w:r>
    </w:p>
    <w:tbl>
      <w:tblPr>
        <w:tblW w:w="91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0"/>
        <w:gridCol w:w="2970"/>
        <w:gridCol w:w="2250"/>
        <w:gridCol w:w="3330"/>
      </w:tblGrid>
      <w:tr w:rsidR="00016A44" w:rsidRPr="00487B66" w14:paraId="23DE3285" w14:textId="77777777" w:rsidTr="00353922">
        <w:tc>
          <w:tcPr>
            <w:tcW w:w="630" w:type="dxa"/>
            <w:vAlign w:val="center"/>
          </w:tcPr>
          <w:p w14:paraId="4E426404" w14:textId="77777777" w:rsidR="00016A44" w:rsidRPr="00CC044F" w:rsidRDefault="00016A44" w:rsidP="00353922">
            <w:pPr>
              <w:spacing w:line="240"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Α/Α</w:t>
            </w:r>
          </w:p>
        </w:tc>
        <w:tc>
          <w:tcPr>
            <w:tcW w:w="2970" w:type="dxa"/>
            <w:vAlign w:val="center"/>
          </w:tcPr>
          <w:p w14:paraId="6403BF46" w14:textId="77777777" w:rsidR="00016A44" w:rsidRPr="00CC044F" w:rsidRDefault="00016A44" w:rsidP="00353922">
            <w:pPr>
              <w:spacing w:line="240"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ΟΝΟΜΑ ΤΟΥ ΠΡΟΣΦΕΡΟΝΤΑ</w:t>
            </w:r>
          </w:p>
        </w:tc>
        <w:tc>
          <w:tcPr>
            <w:tcW w:w="2250" w:type="dxa"/>
            <w:vAlign w:val="center"/>
          </w:tcPr>
          <w:p w14:paraId="7ECDC7C1" w14:textId="77777777" w:rsidR="00016A44" w:rsidRPr="00CC044F" w:rsidRDefault="00016A44" w:rsidP="00353922">
            <w:pPr>
              <w:spacing w:line="240"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ΠΟΣΟ/ΤΙΜΗ ΤΗΣ ΠΡΟΣΦΟΡΑΣ ΤΟΥ ΠΡΟΣΦΕΡΟΝΤΑ</w:t>
            </w:r>
          </w:p>
        </w:tc>
        <w:tc>
          <w:tcPr>
            <w:tcW w:w="3330" w:type="dxa"/>
          </w:tcPr>
          <w:p w14:paraId="37752376" w14:textId="77777777" w:rsidR="00016A44" w:rsidRPr="00CC044F" w:rsidRDefault="00016A44" w:rsidP="00353922">
            <w:pPr>
              <w:spacing w:line="240" w:lineRule="auto"/>
              <w:ind w:left="27" w:right="172" w:firstLine="141"/>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ΠΟΣΟΣΤΙΑΙΑ                                                                                                                                                                                                                                                           ΑΠΟΚΛΙΣΗ ΑΠΟ ΤΗΝ  ΕΚΤΙΜΗΜΕΝΗ ΑΞΙΑ ΤΟΥ ΔΙΑΓΩΝΙΣΜΟΥ (€660.000,00+Φ.Π.Α.)</w:t>
            </w:r>
          </w:p>
        </w:tc>
      </w:tr>
      <w:tr w:rsidR="00016A44" w:rsidRPr="00CC044F" w14:paraId="770F35BC" w14:textId="77777777" w:rsidTr="00353922">
        <w:trPr>
          <w:trHeight w:val="596"/>
        </w:trPr>
        <w:tc>
          <w:tcPr>
            <w:tcW w:w="630" w:type="dxa"/>
            <w:vAlign w:val="center"/>
          </w:tcPr>
          <w:p w14:paraId="1E44EB31" w14:textId="77777777" w:rsidR="00016A44" w:rsidRPr="00CC044F" w:rsidRDefault="00016A44" w:rsidP="00353922">
            <w:pPr>
              <w:spacing w:line="240"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1</w:t>
            </w:r>
          </w:p>
        </w:tc>
        <w:tc>
          <w:tcPr>
            <w:tcW w:w="2970" w:type="dxa"/>
          </w:tcPr>
          <w:p w14:paraId="54FF663B" w14:textId="11D65118" w:rsidR="00016A44" w:rsidRPr="00CC044F" w:rsidRDefault="00487B66" w:rsidP="00353922">
            <w:pPr>
              <w:spacing w:line="240" w:lineRule="auto"/>
              <w:jc w:val="both"/>
              <w:rPr>
                <w:rFonts w:asciiTheme="minorHAnsi" w:eastAsia="PMingLiU" w:hAnsiTheme="minorHAnsi" w:cstheme="minorHAnsi"/>
                <w:bCs/>
                <w:szCs w:val="22"/>
                <w:lang w:eastAsia="zh-TW"/>
              </w:rPr>
            </w:pPr>
            <w:r>
              <w:rPr>
                <w:rFonts w:ascii="Calibri" w:hAnsi="Calibri" w:cs="Calibri"/>
                <w:szCs w:val="22"/>
                <w:lang w:val="el-GR"/>
              </w:rPr>
              <w:t>ΧΧΧΧΧΧΧΧ</w:t>
            </w:r>
          </w:p>
        </w:tc>
        <w:tc>
          <w:tcPr>
            <w:tcW w:w="2250" w:type="dxa"/>
            <w:vAlign w:val="bottom"/>
          </w:tcPr>
          <w:p w14:paraId="6501BE72" w14:textId="77777777" w:rsidR="00016A44" w:rsidRPr="00CC044F" w:rsidRDefault="00016A44" w:rsidP="00353922">
            <w:pPr>
              <w:spacing w:line="240" w:lineRule="auto"/>
              <w:jc w:val="both"/>
              <w:rPr>
                <w:rFonts w:asciiTheme="minorHAnsi" w:eastAsia="PMingLiU" w:hAnsiTheme="minorHAnsi" w:cstheme="minorHAnsi"/>
                <w:bCs/>
                <w:szCs w:val="22"/>
                <w:lang w:val="el-GR" w:eastAsia="zh-TW"/>
              </w:rPr>
            </w:pPr>
            <w:r w:rsidRPr="00CC044F">
              <w:rPr>
                <w:rFonts w:asciiTheme="minorHAnsi" w:eastAsia="PMingLiU" w:hAnsiTheme="minorHAnsi" w:cstheme="minorHAnsi"/>
                <w:bCs/>
                <w:szCs w:val="22"/>
                <w:lang w:val="el-GR" w:eastAsia="zh-TW"/>
              </w:rPr>
              <w:t>€805.205,00+Φ.Π.Α.</w:t>
            </w:r>
          </w:p>
          <w:p w14:paraId="0EF41387" w14:textId="77777777" w:rsidR="00016A44" w:rsidRPr="00CC044F" w:rsidRDefault="00016A44" w:rsidP="00353922">
            <w:pPr>
              <w:spacing w:line="240" w:lineRule="auto"/>
              <w:jc w:val="both"/>
              <w:rPr>
                <w:rFonts w:asciiTheme="minorHAnsi" w:hAnsiTheme="minorHAnsi" w:cstheme="minorHAnsi"/>
                <w:bCs/>
                <w:szCs w:val="22"/>
                <w:lang w:val="el-GR"/>
              </w:rPr>
            </w:pPr>
          </w:p>
        </w:tc>
        <w:tc>
          <w:tcPr>
            <w:tcW w:w="3330" w:type="dxa"/>
            <w:vAlign w:val="center"/>
          </w:tcPr>
          <w:p w14:paraId="449DDC0A" w14:textId="77777777" w:rsidR="00016A44" w:rsidRPr="00CC044F" w:rsidRDefault="00016A44" w:rsidP="00353922">
            <w:pPr>
              <w:spacing w:line="240" w:lineRule="auto"/>
              <w:ind w:right="162"/>
              <w:jc w:val="both"/>
              <w:rPr>
                <w:rFonts w:asciiTheme="minorHAnsi" w:hAnsiTheme="minorHAnsi" w:cstheme="minorHAnsi"/>
                <w:bCs/>
                <w:szCs w:val="22"/>
                <w:lang w:val="el-GR"/>
              </w:rPr>
            </w:pPr>
            <w:r w:rsidRPr="00CC044F">
              <w:rPr>
                <w:rFonts w:asciiTheme="minorHAnsi" w:hAnsiTheme="minorHAnsi" w:cstheme="minorHAnsi"/>
                <w:bCs/>
                <w:szCs w:val="22"/>
                <w:lang w:val="el-GR"/>
              </w:rPr>
              <w:t>22%</w:t>
            </w:r>
          </w:p>
        </w:tc>
      </w:tr>
    </w:tbl>
    <w:p w14:paraId="1D8D5FCA" w14:textId="77777777" w:rsidR="00016A44" w:rsidRPr="00CC044F" w:rsidRDefault="00016A44" w:rsidP="00016A44">
      <w:pPr>
        <w:spacing w:line="240" w:lineRule="auto"/>
        <w:jc w:val="both"/>
        <w:rPr>
          <w:rFonts w:asciiTheme="minorHAnsi" w:hAnsiTheme="minorHAnsi" w:cstheme="minorHAnsi"/>
          <w:bCs/>
          <w:szCs w:val="22"/>
          <w:u w:val="single"/>
          <w:lang w:val="el-GR"/>
        </w:rPr>
      </w:pPr>
    </w:p>
    <w:p w14:paraId="53A090D6" w14:textId="77777777" w:rsidR="00016A44" w:rsidRPr="00CC044F" w:rsidRDefault="00016A44" w:rsidP="00016A44">
      <w:pPr>
        <w:spacing w:line="240" w:lineRule="auto"/>
        <w:jc w:val="both"/>
        <w:rPr>
          <w:rFonts w:asciiTheme="minorHAnsi" w:hAnsiTheme="minorHAnsi" w:cstheme="minorHAnsi"/>
          <w:bCs/>
          <w:szCs w:val="22"/>
          <w:lang w:val="el-GR"/>
        </w:rPr>
      </w:pPr>
    </w:p>
    <w:p w14:paraId="51E15462" w14:textId="77777777" w:rsidR="00016A44" w:rsidRPr="00CC044F" w:rsidRDefault="00016A44" w:rsidP="00016A44">
      <w:pPr>
        <w:spacing w:line="276" w:lineRule="auto"/>
        <w:jc w:val="both"/>
        <w:rPr>
          <w:rFonts w:asciiTheme="minorHAnsi" w:hAnsiTheme="minorHAnsi" w:cstheme="minorHAnsi"/>
          <w:bCs/>
          <w:szCs w:val="22"/>
          <w:lang w:val="el-GR"/>
        </w:rPr>
      </w:pPr>
      <w:r w:rsidRPr="00CC044F">
        <w:rPr>
          <w:rFonts w:asciiTheme="minorHAnsi" w:hAnsiTheme="minorHAnsi" w:cstheme="minorHAnsi"/>
          <w:bCs/>
          <w:szCs w:val="22"/>
          <w:lang w:val="el-GR"/>
        </w:rPr>
        <w:t xml:space="preserve">Η Επιτροπή Αξιολόγησης, αφού έλαβε υπόψη της όλα τα αναφερόμενα στις πιο πάνω παραγράφους της παρούσας Έκθεσης Αξιολόγησης, και αφού εξέτασε ενδελεχώς τα οικονομικά δεδομένα του διαγωνισμού, όπως αυτά </w:t>
      </w:r>
      <w:proofErr w:type="spellStart"/>
      <w:r w:rsidRPr="00CC044F">
        <w:rPr>
          <w:rFonts w:asciiTheme="minorHAnsi" w:hAnsiTheme="minorHAnsi" w:cstheme="minorHAnsi"/>
          <w:bCs/>
          <w:szCs w:val="22"/>
          <w:lang w:val="el-GR"/>
        </w:rPr>
        <w:t>προέκυπταν</w:t>
      </w:r>
      <w:proofErr w:type="spellEnd"/>
      <w:r w:rsidRPr="00CC044F">
        <w:rPr>
          <w:rFonts w:asciiTheme="minorHAnsi" w:hAnsiTheme="minorHAnsi" w:cstheme="minorHAnsi"/>
          <w:bCs/>
          <w:szCs w:val="22"/>
          <w:lang w:val="el-GR"/>
        </w:rPr>
        <w:t xml:space="preserve"> τόσο από τα αρχικά αριθμητικά στοιχεία όσο και μετά τον εντοπισμό και τη διόρθωση ουσιώδους αριθμητικού σφάλματος στο Δελτίο Ποσοτήτων το οποίο επηρέασε τόσο την εκτιμώμενη αξία του διαγωνισμού όσο και την υποβληθείσα οικονομική προσφορά, αποφασίζει ομόφωνα να εισηγηθεί στα Αρμόδια Όργανα του Δήμου την ακύρωση του εν λόγω διαγωνισμού και την </w:t>
      </w:r>
      <w:proofErr w:type="spellStart"/>
      <w:r w:rsidRPr="00CC044F">
        <w:rPr>
          <w:rFonts w:asciiTheme="minorHAnsi" w:hAnsiTheme="minorHAnsi" w:cstheme="minorHAnsi"/>
          <w:bCs/>
          <w:szCs w:val="22"/>
          <w:lang w:val="el-GR"/>
        </w:rPr>
        <w:t>επαναπροκήρυξή</w:t>
      </w:r>
      <w:proofErr w:type="spellEnd"/>
      <w:r w:rsidRPr="00CC044F">
        <w:rPr>
          <w:rFonts w:asciiTheme="minorHAnsi" w:hAnsiTheme="minorHAnsi" w:cstheme="minorHAnsi"/>
          <w:bCs/>
          <w:szCs w:val="22"/>
          <w:lang w:val="el-GR"/>
        </w:rPr>
        <w:t xml:space="preserve"> του, με ορθά, πλήρη και </w:t>
      </w:r>
      <w:proofErr w:type="spellStart"/>
      <w:r w:rsidRPr="00CC044F">
        <w:rPr>
          <w:rFonts w:asciiTheme="minorHAnsi" w:hAnsiTheme="minorHAnsi" w:cstheme="minorHAnsi"/>
          <w:bCs/>
          <w:szCs w:val="22"/>
          <w:lang w:val="el-GR"/>
        </w:rPr>
        <w:t>επικαιροποιημένα</w:t>
      </w:r>
      <w:proofErr w:type="spellEnd"/>
      <w:r w:rsidRPr="00CC044F">
        <w:rPr>
          <w:rFonts w:asciiTheme="minorHAnsi" w:hAnsiTheme="minorHAnsi" w:cstheme="minorHAnsi"/>
          <w:bCs/>
          <w:szCs w:val="22"/>
          <w:lang w:val="el-GR"/>
        </w:rPr>
        <w:t xml:space="preserve"> οικονομικά στοιχεία, ώστε να διασφαλιστεί η νομιμότητα και η διαφάνεια της διαδικασίας, καθώς και να δημιουργηθούν οι προϋποθέσεις υγιούς ανταγωνισμού και για την προσέλκυση περισσότερων οικονομικών φορέων, </w:t>
      </w:r>
      <w:r w:rsidRPr="00CC044F">
        <w:rPr>
          <w:rFonts w:asciiTheme="minorHAnsi" w:hAnsiTheme="minorHAnsi" w:cstheme="minorHAnsi"/>
          <w:bCs/>
          <w:szCs w:val="22"/>
          <w:lang w:val="el-GR"/>
        </w:rPr>
        <w:lastRenderedPageBreak/>
        <w:t>δεδομένου ότι η εσφαλμένα χαμηλή εκτιμώμενη αξία του διαγωνισμού ενδέχεται να λειτούργησε αποτρεπτικά για τη συμμετοχή άλλων εργολάβων.</w:t>
      </w:r>
    </w:p>
    <w:p w14:paraId="4C6F09FE" w14:textId="77777777" w:rsidR="00016A44" w:rsidRPr="00CC044F" w:rsidRDefault="00016A44" w:rsidP="00016A44">
      <w:pPr>
        <w:spacing w:line="240" w:lineRule="auto"/>
        <w:jc w:val="both"/>
        <w:rPr>
          <w:rFonts w:asciiTheme="minorHAnsi" w:hAnsiTheme="minorHAnsi" w:cstheme="minorHAnsi"/>
          <w:bCs/>
          <w:szCs w:val="22"/>
          <w:lang w:val="el-GR"/>
        </w:rPr>
      </w:pPr>
    </w:p>
    <w:p w14:paraId="5ADF3FAC" w14:textId="77777777" w:rsidR="00016A44" w:rsidRPr="00CC044F" w:rsidRDefault="00016A44" w:rsidP="00016A44">
      <w:pPr>
        <w:jc w:val="both"/>
        <w:rPr>
          <w:rFonts w:asciiTheme="minorHAnsi" w:hAnsiTheme="minorHAnsi" w:cstheme="minorHAnsi"/>
          <w:bCs/>
          <w:szCs w:val="22"/>
          <w:lang w:val="el-GR"/>
        </w:rPr>
      </w:pPr>
      <w:r w:rsidRPr="00CC044F">
        <w:rPr>
          <w:rFonts w:asciiTheme="minorHAnsi" w:hAnsiTheme="minorHAnsi" w:cstheme="minorHAnsi"/>
          <w:bCs/>
          <w:szCs w:val="22"/>
          <w:lang w:val="el-GR"/>
        </w:rPr>
        <w:t xml:space="preserve">Ακολούθως αφού η Επιτροπή λαμβάνει υπόψιν όλα τα πιο πάνω, αποφασίζει να εισηγηθεί στο Συμβούλιο Προσφορών την ακύρωση του διαγωνισμού και την </w:t>
      </w:r>
      <w:proofErr w:type="spellStart"/>
      <w:r w:rsidRPr="00CC044F">
        <w:rPr>
          <w:rFonts w:asciiTheme="minorHAnsi" w:hAnsiTheme="minorHAnsi" w:cstheme="minorHAnsi"/>
          <w:bCs/>
          <w:szCs w:val="22"/>
          <w:lang w:val="el-GR"/>
        </w:rPr>
        <w:t>επαναπροκήρυξή</w:t>
      </w:r>
      <w:proofErr w:type="spellEnd"/>
      <w:r w:rsidRPr="00CC044F">
        <w:rPr>
          <w:rFonts w:asciiTheme="minorHAnsi" w:hAnsiTheme="minorHAnsi" w:cstheme="minorHAnsi"/>
          <w:bCs/>
          <w:szCs w:val="22"/>
          <w:lang w:val="el-GR"/>
        </w:rPr>
        <w:t xml:space="preserve"> του, με ορθά, πλήρη και </w:t>
      </w:r>
      <w:proofErr w:type="spellStart"/>
      <w:r w:rsidRPr="00CC044F">
        <w:rPr>
          <w:rFonts w:asciiTheme="minorHAnsi" w:hAnsiTheme="minorHAnsi" w:cstheme="minorHAnsi"/>
          <w:bCs/>
          <w:szCs w:val="22"/>
          <w:lang w:val="el-GR"/>
        </w:rPr>
        <w:t>επικαιροποιημένα</w:t>
      </w:r>
      <w:proofErr w:type="spellEnd"/>
      <w:r w:rsidRPr="00CC044F">
        <w:rPr>
          <w:rFonts w:asciiTheme="minorHAnsi" w:hAnsiTheme="minorHAnsi" w:cstheme="minorHAnsi"/>
          <w:bCs/>
          <w:szCs w:val="22"/>
          <w:lang w:val="el-GR"/>
        </w:rPr>
        <w:t xml:space="preserve"> οικονομικά στοιχεία, ώστε να διασφαλιστεί η νομιμότητα και η διαφάνεια της διαδικασίας, καθώς και να δημιουργηθούν οι προϋποθέσεις υγιούς ανταγωνισμού και για την προσέλκυση περισσότερων οικονομικών φορέων, δεδομένου ότι η εσφαλμένα χαμηλή εκτιμώμενη αξία του διαγωνισμού ενδέχεται να λειτούργησε αποτρεπτικά για τη συμμετοχή άλλων εργολάβων. </w:t>
      </w:r>
    </w:p>
    <w:p w14:paraId="419A80A0" w14:textId="77777777" w:rsidR="00016A44" w:rsidRDefault="00016A44" w:rsidP="00016A44">
      <w:pPr>
        <w:jc w:val="both"/>
        <w:rPr>
          <w:rFonts w:asciiTheme="minorHAnsi" w:hAnsiTheme="minorHAnsi" w:cstheme="minorHAnsi"/>
          <w:bCs/>
          <w:szCs w:val="22"/>
          <w:lang w:val="el-GR"/>
        </w:rPr>
      </w:pPr>
    </w:p>
    <w:p w14:paraId="5F455D7A" w14:textId="77777777" w:rsidR="00016A44" w:rsidRDefault="00016A44" w:rsidP="00016A44">
      <w:pPr>
        <w:jc w:val="both"/>
        <w:rPr>
          <w:rFonts w:asciiTheme="minorHAnsi" w:hAnsiTheme="minorHAnsi" w:cstheme="minorHAnsi"/>
          <w:bCs/>
          <w:szCs w:val="22"/>
          <w:lang w:val="el-GR"/>
        </w:rPr>
      </w:pPr>
      <w:r>
        <w:rPr>
          <w:rFonts w:asciiTheme="minorHAnsi" w:hAnsiTheme="minorHAnsi" w:cstheme="minorHAnsi"/>
          <w:bCs/>
          <w:szCs w:val="22"/>
          <w:lang w:val="el-GR"/>
        </w:rPr>
        <w:t xml:space="preserve">Παράλληλα η Επιτροπή ενημερώνεται για τα νέα έγγραφα που ετοιμάστηκαν για την </w:t>
      </w:r>
      <w:proofErr w:type="spellStart"/>
      <w:r>
        <w:rPr>
          <w:rFonts w:asciiTheme="minorHAnsi" w:hAnsiTheme="minorHAnsi" w:cstheme="minorHAnsi"/>
          <w:bCs/>
          <w:szCs w:val="22"/>
          <w:lang w:val="el-GR"/>
        </w:rPr>
        <w:t>επαναπροκήρυξη</w:t>
      </w:r>
      <w:proofErr w:type="spellEnd"/>
      <w:r>
        <w:rPr>
          <w:rFonts w:asciiTheme="minorHAnsi" w:hAnsiTheme="minorHAnsi" w:cstheme="minorHAnsi"/>
          <w:bCs/>
          <w:szCs w:val="22"/>
          <w:lang w:val="el-GR"/>
        </w:rPr>
        <w:t xml:space="preserve"> (με </w:t>
      </w:r>
      <w:proofErr w:type="spellStart"/>
      <w:r>
        <w:rPr>
          <w:rFonts w:asciiTheme="minorHAnsi" w:hAnsiTheme="minorHAnsi" w:cstheme="minorHAnsi"/>
          <w:bCs/>
          <w:szCs w:val="22"/>
          <w:lang w:val="el-GR"/>
        </w:rPr>
        <w:t>αρ</w:t>
      </w:r>
      <w:proofErr w:type="spellEnd"/>
      <w:r>
        <w:rPr>
          <w:rFonts w:asciiTheme="minorHAnsi" w:hAnsiTheme="minorHAnsi" w:cstheme="minorHAnsi"/>
          <w:bCs/>
          <w:szCs w:val="22"/>
          <w:lang w:val="el-GR"/>
        </w:rPr>
        <w:t>. 125/2025) και προϋπολογισμό τις €860.000,00 + ΦΠΑ και αποφασίζει την άμεση προκήρυξη.</w:t>
      </w:r>
    </w:p>
    <w:p w14:paraId="03200BFB" w14:textId="77777777" w:rsidR="00016A44" w:rsidRDefault="00016A44" w:rsidP="00016A44">
      <w:pPr>
        <w:jc w:val="both"/>
        <w:rPr>
          <w:rFonts w:asciiTheme="minorHAnsi" w:hAnsiTheme="minorHAnsi" w:cstheme="minorHAnsi"/>
          <w:bCs/>
          <w:szCs w:val="22"/>
          <w:lang w:val="el-GR"/>
        </w:rPr>
      </w:pPr>
    </w:p>
    <w:p w14:paraId="7F785CEB" w14:textId="77777777" w:rsidR="00016A44" w:rsidRDefault="00016A44" w:rsidP="00016A44">
      <w:pPr>
        <w:jc w:val="both"/>
        <w:rPr>
          <w:rFonts w:asciiTheme="minorHAnsi" w:hAnsiTheme="minorHAnsi" w:cstheme="minorHAnsi"/>
          <w:bCs/>
          <w:szCs w:val="22"/>
          <w:lang w:val="el-GR"/>
        </w:rPr>
      </w:pPr>
      <w:r>
        <w:rPr>
          <w:rFonts w:asciiTheme="minorHAnsi" w:hAnsiTheme="minorHAnsi" w:cstheme="minorHAnsi"/>
          <w:bCs/>
          <w:szCs w:val="22"/>
          <w:lang w:val="el-GR"/>
        </w:rPr>
        <w:t>Η</w:t>
      </w:r>
      <w:r w:rsidRPr="00CC044F">
        <w:rPr>
          <w:rFonts w:asciiTheme="minorHAnsi" w:hAnsiTheme="minorHAnsi" w:cstheme="minorHAnsi"/>
          <w:bCs/>
          <w:szCs w:val="22"/>
          <w:lang w:val="el-GR"/>
        </w:rPr>
        <w:t xml:space="preserve"> Επιτροπή Προσφορών εισηγείται στο Συμβούλιο Προσφορών την ίδια Επιτροπή Αξιολόγησης</w:t>
      </w:r>
      <w:r>
        <w:rPr>
          <w:rFonts w:asciiTheme="minorHAnsi" w:hAnsiTheme="minorHAnsi" w:cstheme="minorHAnsi"/>
          <w:bCs/>
          <w:szCs w:val="22"/>
          <w:lang w:val="el-GR"/>
        </w:rPr>
        <w:t>:</w:t>
      </w:r>
      <w:r w:rsidRPr="00CC044F">
        <w:rPr>
          <w:rFonts w:asciiTheme="minorHAnsi" w:hAnsiTheme="minorHAnsi" w:cstheme="minorHAnsi"/>
          <w:bCs/>
          <w:szCs w:val="22"/>
          <w:lang w:val="el-GR"/>
        </w:rPr>
        <w:t xml:space="preserve"> </w:t>
      </w:r>
      <w:r>
        <w:rPr>
          <w:rFonts w:asciiTheme="minorHAnsi" w:hAnsiTheme="minorHAnsi" w:cstheme="minorHAnsi"/>
          <w:bCs/>
          <w:szCs w:val="22"/>
          <w:lang w:val="el-GR"/>
        </w:rPr>
        <w:t xml:space="preserve"> </w:t>
      </w:r>
    </w:p>
    <w:p w14:paraId="4791A12E" w14:textId="77777777" w:rsidR="00016A44" w:rsidRDefault="00016A44" w:rsidP="00016A44">
      <w:pPr>
        <w:jc w:val="both"/>
        <w:rPr>
          <w:rFonts w:asciiTheme="minorHAnsi" w:hAnsiTheme="minorHAnsi" w:cstheme="minorHAnsi"/>
          <w:bCs/>
          <w:szCs w:val="22"/>
          <w:lang w:val="el-GR"/>
        </w:rPr>
      </w:pPr>
    </w:p>
    <w:p w14:paraId="2CF795EC" w14:textId="77777777" w:rsidR="00487B66" w:rsidRPr="00487B66" w:rsidRDefault="00487B66" w:rsidP="00016A44">
      <w:pPr>
        <w:pStyle w:val="ListParagraph"/>
        <w:numPr>
          <w:ilvl w:val="0"/>
          <w:numId w:val="64"/>
        </w:numPr>
        <w:contextualSpacing/>
        <w:jc w:val="both"/>
        <w:rPr>
          <w:rFonts w:asciiTheme="minorHAnsi" w:hAnsiTheme="minorHAnsi" w:cstheme="minorHAnsi"/>
          <w:bCs/>
          <w:szCs w:val="22"/>
          <w:lang w:val="el-GR"/>
        </w:rPr>
      </w:pPr>
      <w:r>
        <w:rPr>
          <w:rFonts w:ascii="Calibri" w:hAnsi="Calibri" w:cs="Calibri"/>
          <w:szCs w:val="22"/>
          <w:lang w:val="el-GR"/>
        </w:rPr>
        <w:t>ΧΧΧΧΧΧΧΧ</w:t>
      </w:r>
    </w:p>
    <w:p w14:paraId="40FD840F" w14:textId="77777777" w:rsidR="00487B66" w:rsidRPr="00487B66" w:rsidRDefault="00487B66" w:rsidP="00016A44">
      <w:pPr>
        <w:pStyle w:val="ListParagraph"/>
        <w:numPr>
          <w:ilvl w:val="0"/>
          <w:numId w:val="64"/>
        </w:numPr>
        <w:contextualSpacing/>
        <w:jc w:val="both"/>
        <w:rPr>
          <w:rFonts w:asciiTheme="minorHAnsi" w:hAnsiTheme="minorHAnsi" w:cstheme="minorHAnsi"/>
          <w:bCs/>
          <w:szCs w:val="22"/>
          <w:lang w:val="el-GR"/>
        </w:rPr>
      </w:pPr>
      <w:r>
        <w:rPr>
          <w:rFonts w:ascii="Calibri" w:hAnsi="Calibri" w:cs="Calibri"/>
          <w:szCs w:val="22"/>
          <w:lang w:val="el-GR"/>
        </w:rPr>
        <w:t>ΧΧΧΧΧΧΧΧ</w:t>
      </w:r>
    </w:p>
    <w:p w14:paraId="0EE03B6B" w14:textId="348F0C0D" w:rsidR="00016A44" w:rsidRPr="003F739C" w:rsidRDefault="00487B66" w:rsidP="00016A44">
      <w:pPr>
        <w:pStyle w:val="ListParagraph"/>
        <w:numPr>
          <w:ilvl w:val="0"/>
          <w:numId w:val="64"/>
        </w:numPr>
        <w:contextualSpacing/>
        <w:jc w:val="both"/>
        <w:rPr>
          <w:rFonts w:asciiTheme="minorHAnsi" w:hAnsiTheme="minorHAnsi" w:cstheme="minorHAnsi"/>
          <w:bCs/>
          <w:szCs w:val="22"/>
          <w:lang w:val="el-GR"/>
        </w:rPr>
      </w:pPr>
      <w:r>
        <w:rPr>
          <w:rFonts w:ascii="Calibri" w:hAnsi="Calibri" w:cs="Calibri"/>
          <w:szCs w:val="22"/>
          <w:lang w:val="el-GR"/>
        </w:rPr>
        <w:t>ΧΧΧΧΧΧΧΧ</w:t>
      </w:r>
      <w:r w:rsidR="00016A44">
        <w:rPr>
          <w:rFonts w:asciiTheme="minorHAnsi" w:hAnsiTheme="minorHAnsi" w:cstheme="minorHAnsi"/>
          <w:bCs/>
          <w:szCs w:val="22"/>
          <w:lang w:val="el-GR"/>
        </w:rPr>
        <w:t>.</w:t>
      </w:r>
    </w:p>
    <w:p w14:paraId="4B544127" w14:textId="77777777" w:rsidR="00016A44" w:rsidRPr="000C172E" w:rsidRDefault="00016A44" w:rsidP="00016A44">
      <w:pPr>
        <w:spacing w:line="240" w:lineRule="auto"/>
        <w:jc w:val="both"/>
        <w:rPr>
          <w:rFonts w:ascii="Arial" w:hAnsi="Arial" w:cs="Arial"/>
          <w:lang w:val="el-GR"/>
        </w:rPr>
      </w:pPr>
    </w:p>
    <w:p w14:paraId="7A54415E" w14:textId="77777777" w:rsidR="00016A44" w:rsidRPr="002F5C4C" w:rsidRDefault="00016A44" w:rsidP="00016A44">
      <w:pPr>
        <w:rPr>
          <w:rFonts w:ascii="Calibri" w:hAnsi="Calibri"/>
          <w:b/>
          <w:bCs/>
          <w:szCs w:val="22"/>
          <w:lang w:val="el-GR"/>
        </w:rPr>
      </w:pPr>
    </w:p>
    <w:p w14:paraId="0D5CA8F0" w14:textId="73714169" w:rsidR="00016A44" w:rsidRPr="002F5C4C" w:rsidRDefault="00016A44" w:rsidP="00016A44">
      <w:pPr>
        <w:numPr>
          <w:ilvl w:val="0"/>
          <w:numId w:val="61"/>
        </w:numPr>
        <w:rPr>
          <w:rFonts w:ascii="Calibri" w:hAnsi="Calibri"/>
          <w:b/>
          <w:bCs/>
          <w:szCs w:val="22"/>
          <w:lang w:val="el-GR"/>
        </w:rPr>
      </w:pPr>
      <w:r w:rsidRPr="002F5C4C">
        <w:rPr>
          <w:rFonts w:ascii="Calibri" w:hAnsi="Calibri"/>
          <w:b/>
          <w:bCs/>
          <w:szCs w:val="22"/>
        </w:rPr>
        <w:t>A</w:t>
      </w:r>
      <w:r>
        <w:rPr>
          <w:rFonts w:ascii="Calibri" w:hAnsi="Calibri"/>
          <w:b/>
          <w:bCs/>
          <w:szCs w:val="22"/>
          <w:lang w:val="el-GR"/>
        </w:rPr>
        <w:t>ν</w:t>
      </w:r>
      <w:r w:rsidRPr="002F5C4C">
        <w:rPr>
          <w:rFonts w:ascii="Calibri" w:hAnsi="Calibri"/>
          <w:b/>
          <w:bCs/>
          <w:szCs w:val="22"/>
          <w:lang w:val="el-GR"/>
        </w:rPr>
        <w:t xml:space="preserve">ανέωση συμφωνίας για ενοικίαση δημοτικού κτήματος εμβαδού 50 </w:t>
      </w:r>
      <w:proofErr w:type="spellStart"/>
      <w:r w:rsidRPr="002F5C4C">
        <w:rPr>
          <w:rFonts w:ascii="Calibri" w:hAnsi="Calibri"/>
          <w:b/>
          <w:bCs/>
          <w:szCs w:val="22"/>
          <w:lang w:val="el-GR"/>
        </w:rPr>
        <w:t>δεκαρίων</w:t>
      </w:r>
      <w:proofErr w:type="spellEnd"/>
      <w:r w:rsidRPr="002F5C4C">
        <w:rPr>
          <w:rFonts w:ascii="Calibri" w:hAnsi="Calibri"/>
          <w:b/>
          <w:bCs/>
          <w:szCs w:val="22"/>
          <w:lang w:val="el-GR"/>
        </w:rPr>
        <w:t xml:space="preserve"> που βρίσκεται παρά το Δημοτικό Κοιμητήριο Λάρνακας στα διοικητικά όρια της κοινότητας </w:t>
      </w:r>
      <w:proofErr w:type="spellStart"/>
      <w:r w:rsidRPr="002F5C4C">
        <w:rPr>
          <w:rFonts w:ascii="Calibri" w:hAnsi="Calibri"/>
          <w:b/>
          <w:bCs/>
          <w:szCs w:val="22"/>
          <w:lang w:val="el-GR"/>
        </w:rPr>
        <w:t>Τερσεφάνου</w:t>
      </w:r>
      <w:proofErr w:type="spellEnd"/>
      <w:r w:rsidRPr="002F5C4C">
        <w:rPr>
          <w:rFonts w:ascii="Calibri" w:hAnsi="Calibri"/>
          <w:b/>
          <w:bCs/>
          <w:szCs w:val="22"/>
          <w:lang w:val="el-GR"/>
        </w:rPr>
        <w:t xml:space="preserve">, επαρχίας Λάρνακας.  </w:t>
      </w:r>
    </w:p>
    <w:p w14:paraId="36C9C758" w14:textId="77777777" w:rsidR="00016A44" w:rsidRPr="002F5C4C" w:rsidRDefault="00016A44" w:rsidP="00016A44">
      <w:pPr>
        <w:jc w:val="both"/>
        <w:rPr>
          <w:rFonts w:ascii="Calibri" w:hAnsi="Calibri"/>
          <w:szCs w:val="22"/>
          <w:lang w:val="el-GR"/>
        </w:rPr>
      </w:pPr>
    </w:p>
    <w:p w14:paraId="75F151BC" w14:textId="77777777" w:rsidR="00016A44" w:rsidRPr="002F5C4C" w:rsidRDefault="00016A44" w:rsidP="00016A44">
      <w:pPr>
        <w:jc w:val="both"/>
        <w:rPr>
          <w:rFonts w:ascii="Calibri" w:hAnsi="Calibri"/>
          <w:szCs w:val="22"/>
          <w:lang w:val="el-GR"/>
        </w:rPr>
      </w:pPr>
      <w:r w:rsidRPr="002F5C4C">
        <w:rPr>
          <w:rFonts w:ascii="Calibri" w:hAnsi="Calibri"/>
          <w:szCs w:val="22"/>
          <w:lang w:val="el-GR"/>
        </w:rPr>
        <w:t xml:space="preserve">Η Επιτροπή ενημερώνεται για την έκθεση του </w:t>
      </w:r>
      <w:proofErr w:type="spellStart"/>
      <w:r w:rsidRPr="002F5C4C">
        <w:rPr>
          <w:rFonts w:ascii="Calibri" w:hAnsi="Calibri"/>
          <w:szCs w:val="22"/>
          <w:lang w:val="el-GR"/>
        </w:rPr>
        <w:t>Γρ</w:t>
      </w:r>
      <w:proofErr w:type="spellEnd"/>
      <w:r w:rsidRPr="002F5C4C">
        <w:rPr>
          <w:rFonts w:ascii="Calibri" w:hAnsi="Calibri"/>
          <w:szCs w:val="22"/>
          <w:lang w:val="el-GR"/>
        </w:rPr>
        <w:t xml:space="preserve">. Προσφορών σχετικά με την ανανέωση της συμφωνίας για ενοικίαση δημοτικού κτήματος εμβαδού 50 </w:t>
      </w:r>
      <w:proofErr w:type="spellStart"/>
      <w:r w:rsidRPr="002F5C4C">
        <w:rPr>
          <w:rFonts w:ascii="Calibri" w:hAnsi="Calibri"/>
          <w:szCs w:val="22"/>
          <w:lang w:val="el-GR"/>
        </w:rPr>
        <w:t>δεκαρίων</w:t>
      </w:r>
      <w:proofErr w:type="spellEnd"/>
      <w:r w:rsidRPr="002F5C4C">
        <w:rPr>
          <w:rFonts w:ascii="Calibri" w:hAnsi="Calibri"/>
          <w:szCs w:val="22"/>
          <w:lang w:val="el-GR"/>
        </w:rPr>
        <w:t xml:space="preserve"> που βρίσκεται παρά το Δημοτικό Κοιμητήριο Λάρνακας στα διοικητικά όρια της κοινότητας </w:t>
      </w:r>
      <w:proofErr w:type="spellStart"/>
      <w:r w:rsidRPr="002F5C4C">
        <w:rPr>
          <w:rFonts w:ascii="Calibri" w:hAnsi="Calibri"/>
          <w:szCs w:val="22"/>
          <w:lang w:val="el-GR"/>
        </w:rPr>
        <w:t>Τερσεφάνου</w:t>
      </w:r>
      <w:proofErr w:type="spellEnd"/>
      <w:r w:rsidRPr="002F5C4C">
        <w:rPr>
          <w:rFonts w:ascii="Calibri" w:hAnsi="Calibri"/>
          <w:szCs w:val="22"/>
          <w:lang w:val="el-GR"/>
        </w:rPr>
        <w:t>, επαρχίας Λάρνακας.</w:t>
      </w:r>
    </w:p>
    <w:p w14:paraId="45D9802C" w14:textId="77777777" w:rsidR="00016A44" w:rsidRPr="002F5C4C" w:rsidRDefault="00016A44" w:rsidP="00016A44">
      <w:pPr>
        <w:jc w:val="both"/>
        <w:rPr>
          <w:rFonts w:ascii="Calibri" w:hAnsi="Calibri"/>
          <w:szCs w:val="22"/>
          <w:lang w:val="el-GR"/>
        </w:rPr>
      </w:pPr>
    </w:p>
    <w:p w14:paraId="441700F6" w14:textId="77777777" w:rsidR="00016A44" w:rsidRPr="002F5C4C" w:rsidRDefault="00016A44" w:rsidP="00016A44">
      <w:pPr>
        <w:jc w:val="both"/>
        <w:rPr>
          <w:rFonts w:ascii="Calibri" w:hAnsi="Calibri"/>
          <w:szCs w:val="22"/>
          <w:lang w:val="el-GR"/>
        </w:rPr>
      </w:pPr>
      <w:r w:rsidRPr="002F5C4C">
        <w:rPr>
          <w:rFonts w:ascii="Calibri" w:hAnsi="Calibri"/>
          <w:szCs w:val="22"/>
          <w:lang w:val="el-GR"/>
        </w:rPr>
        <w:t xml:space="preserve">Πιο συγκεκριμένα, η Επιτροπή ενημερώνεται ότι ο ανάδοχος του πιο πάνω διαγωνισμού κ. Χρίστος Ιωακείμ επικοινώνησε με το Δήμο και ανάφερε ότι επειδή η περιοχή έχει ανακηρυχθεί ως </w:t>
      </w:r>
      <w:proofErr w:type="spellStart"/>
      <w:r w:rsidRPr="002F5C4C">
        <w:rPr>
          <w:rFonts w:ascii="Calibri" w:hAnsi="Calibri"/>
          <w:szCs w:val="22"/>
          <w:lang w:val="el-GR"/>
        </w:rPr>
        <w:t>ανομβριόπληκτη</w:t>
      </w:r>
      <w:proofErr w:type="spellEnd"/>
      <w:r w:rsidRPr="002F5C4C">
        <w:rPr>
          <w:rFonts w:ascii="Calibri" w:hAnsi="Calibri"/>
          <w:szCs w:val="22"/>
          <w:lang w:val="el-GR"/>
        </w:rPr>
        <w:t xml:space="preserve"> δικαιούται αυτόματα ανανέωση της σύμβασης για 2χρόνια.</w:t>
      </w:r>
    </w:p>
    <w:p w14:paraId="418CA333" w14:textId="77777777" w:rsidR="00016A44" w:rsidRPr="002F5C4C" w:rsidRDefault="00016A44" w:rsidP="00016A44">
      <w:pPr>
        <w:jc w:val="both"/>
        <w:rPr>
          <w:rFonts w:ascii="Calibri" w:hAnsi="Calibri"/>
          <w:szCs w:val="22"/>
          <w:lang w:val="el-GR"/>
        </w:rPr>
      </w:pPr>
    </w:p>
    <w:p w14:paraId="4B5DC075" w14:textId="77777777" w:rsidR="00016A44" w:rsidRPr="002F5C4C" w:rsidRDefault="00016A44" w:rsidP="00016A44">
      <w:pPr>
        <w:jc w:val="both"/>
        <w:rPr>
          <w:rFonts w:ascii="Calibri" w:hAnsi="Calibri"/>
          <w:szCs w:val="22"/>
          <w:lang w:val="el-GR"/>
        </w:rPr>
      </w:pPr>
      <w:r w:rsidRPr="002F5C4C">
        <w:rPr>
          <w:rFonts w:ascii="Calibri" w:hAnsi="Calibri"/>
          <w:szCs w:val="22"/>
          <w:lang w:val="el-GR"/>
        </w:rPr>
        <w:t>Ακολούθως η Επιτροπή ενημερώνεται ότι ο Δήμος επικοινώνησε με το Τμήμα Γεωργίας όπου και επιβεβαίωσαν τ</w:t>
      </w:r>
      <w:r>
        <w:rPr>
          <w:rFonts w:ascii="Calibri" w:hAnsi="Calibri"/>
          <w:szCs w:val="22"/>
          <w:lang w:val="el-GR"/>
        </w:rPr>
        <w:t>ο</w:t>
      </w:r>
      <w:r w:rsidRPr="002F5C4C">
        <w:rPr>
          <w:rFonts w:ascii="Calibri" w:hAnsi="Calibri"/>
          <w:szCs w:val="22"/>
          <w:lang w:val="el-GR"/>
        </w:rPr>
        <w:t xml:space="preserve">ν εν λόγω ισχυρισμό και προς τούτο απέστειλαν ανακοίνωση του Τμήματος </w:t>
      </w:r>
      <w:proofErr w:type="spellStart"/>
      <w:r w:rsidRPr="002F5C4C">
        <w:rPr>
          <w:rFonts w:ascii="Calibri" w:hAnsi="Calibri"/>
          <w:szCs w:val="22"/>
          <w:lang w:val="el-GR"/>
        </w:rPr>
        <w:t>ημερ</w:t>
      </w:r>
      <w:proofErr w:type="spellEnd"/>
      <w:r w:rsidRPr="002F5C4C">
        <w:rPr>
          <w:rFonts w:ascii="Calibri" w:hAnsi="Calibri"/>
          <w:szCs w:val="22"/>
          <w:lang w:val="el-GR"/>
        </w:rPr>
        <w:t xml:space="preserve">. 2/6/2025 όπου κηρύσσει τη Λάρνακα ως </w:t>
      </w:r>
      <w:proofErr w:type="spellStart"/>
      <w:r w:rsidRPr="002F5C4C">
        <w:rPr>
          <w:rFonts w:ascii="Calibri" w:hAnsi="Calibri"/>
          <w:szCs w:val="22"/>
          <w:lang w:val="el-GR"/>
        </w:rPr>
        <w:t>ανομβριόπληκτη</w:t>
      </w:r>
      <w:proofErr w:type="spellEnd"/>
      <w:r w:rsidRPr="002F5C4C">
        <w:rPr>
          <w:rFonts w:ascii="Calibri" w:hAnsi="Calibri"/>
          <w:szCs w:val="22"/>
          <w:lang w:val="el-GR"/>
        </w:rPr>
        <w:t xml:space="preserve">. Σύμφωνα με το άρθρο 4 του Ν.185/1986, «καμιά απόφαση ή διάταγμα δικαστηρίου δεν εκδίδεται για ανάκτηση της κατοχής γεωργικής γης ή για έξωση ενοικιαστή αν η γη βρίσκεται εντός </w:t>
      </w:r>
      <w:proofErr w:type="spellStart"/>
      <w:r w:rsidRPr="002F5C4C">
        <w:rPr>
          <w:rFonts w:ascii="Calibri" w:hAnsi="Calibri"/>
          <w:szCs w:val="22"/>
          <w:lang w:val="el-GR"/>
        </w:rPr>
        <w:t>ανομβριόπληκτης</w:t>
      </w:r>
      <w:proofErr w:type="spellEnd"/>
      <w:r w:rsidRPr="002F5C4C">
        <w:rPr>
          <w:rFonts w:ascii="Calibri" w:hAnsi="Calibri"/>
          <w:szCs w:val="22"/>
          <w:lang w:val="el-GR"/>
        </w:rPr>
        <w:t xml:space="preserve"> περιοχής για την περίοδο που διαρκεί η ανομβρία, όπως αυτή καθορίζεται από τον Οργανισμό Γεωργικής Ασφάλισης. Οι όροι της σύμβασης ενοικιάσεως γεωργικής γης που χρησιμοποιείται για γεωργικούς σκοπούς θα παρατείνεται για χρονική περίοδο δύο ετών μετά τη λήξη της περιόδου που διαρκεί η ανομβρία». </w:t>
      </w:r>
    </w:p>
    <w:p w14:paraId="66AD15AE" w14:textId="77777777" w:rsidR="00016A44" w:rsidRPr="002F5C4C" w:rsidRDefault="00016A44" w:rsidP="00016A44">
      <w:pPr>
        <w:jc w:val="both"/>
        <w:rPr>
          <w:rFonts w:ascii="Calibri" w:hAnsi="Calibri"/>
          <w:szCs w:val="22"/>
          <w:lang w:val="el-GR"/>
        </w:rPr>
      </w:pPr>
    </w:p>
    <w:p w14:paraId="19259180" w14:textId="77777777" w:rsidR="00016A44" w:rsidRPr="002F5C4C" w:rsidRDefault="00016A44" w:rsidP="00016A44">
      <w:pPr>
        <w:jc w:val="both"/>
        <w:rPr>
          <w:rFonts w:ascii="Calibri" w:hAnsi="Calibri"/>
          <w:szCs w:val="22"/>
          <w:lang w:val="el-GR"/>
        </w:rPr>
      </w:pPr>
      <w:r w:rsidRPr="002F5C4C">
        <w:rPr>
          <w:rFonts w:ascii="Calibri" w:hAnsi="Calibri"/>
          <w:szCs w:val="22"/>
          <w:lang w:val="el-GR"/>
        </w:rPr>
        <w:t xml:space="preserve">Η Επιτροπή αφού λαμβάνει υπόψιν όλα τα πιο πάνω, συζητά το θέμα και αποφασίζει ότι η εν λόγω σύμβαση θα πρέπει να ανανεωθεί για δύο χρόνια. </w:t>
      </w:r>
    </w:p>
    <w:p w14:paraId="514B9472" w14:textId="77777777" w:rsidR="00016A44" w:rsidRDefault="00016A44" w:rsidP="00016A44">
      <w:pPr>
        <w:jc w:val="both"/>
        <w:rPr>
          <w:rFonts w:ascii="Calibri" w:hAnsi="Calibri"/>
          <w:szCs w:val="22"/>
          <w:lang w:val="el-GR"/>
        </w:rPr>
      </w:pPr>
    </w:p>
    <w:p w14:paraId="5B8AB50D" w14:textId="77777777" w:rsidR="00016A44" w:rsidRDefault="00016A44" w:rsidP="00016A44">
      <w:pPr>
        <w:jc w:val="both"/>
        <w:rPr>
          <w:rFonts w:ascii="Calibri" w:hAnsi="Calibri"/>
          <w:szCs w:val="22"/>
          <w:lang w:val="el-GR"/>
        </w:rPr>
      </w:pPr>
    </w:p>
    <w:p w14:paraId="7350932E" w14:textId="77777777" w:rsidR="00016A44" w:rsidRDefault="00016A44" w:rsidP="00016A44">
      <w:pPr>
        <w:jc w:val="both"/>
        <w:rPr>
          <w:rFonts w:ascii="Calibri" w:hAnsi="Calibri"/>
          <w:szCs w:val="22"/>
          <w:lang w:val="el-GR"/>
        </w:rPr>
      </w:pPr>
    </w:p>
    <w:p w14:paraId="752B3548" w14:textId="77777777" w:rsidR="00016A44" w:rsidRDefault="00016A44" w:rsidP="00016A44">
      <w:pPr>
        <w:jc w:val="both"/>
        <w:rPr>
          <w:rFonts w:ascii="Calibri" w:hAnsi="Calibri"/>
          <w:szCs w:val="22"/>
          <w:lang w:val="el-GR"/>
        </w:rPr>
      </w:pPr>
    </w:p>
    <w:p w14:paraId="15A808D0" w14:textId="77777777" w:rsidR="00016A44" w:rsidRDefault="00016A44" w:rsidP="00016A44">
      <w:pPr>
        <w:jc w:val="both"/>
        <w:rPr>
          <w:rFonts w:ascii="Calibri" w:hAnsi="Calibri"/>
          <w:szCs w:val="22"/>
          <w:lang w:val="el-GR"/>
        </w:rPr>
      </w:pPr>
    </w:p>
    <w:p w14:paraId="6A66DE90" w14:textId="77777777" w:rsidR="00016A44" w:rsidRDefault="00016A44" w:rsidP="00016A44">
      <w:pPr>
        <w:jc w:val="both"/>
        <w:rPr>
          <w:rFonts w:ascii="Calibri" w:hAnsi="Calibri"/>
          <w:szCs w:val="22"/>
          <w:lang w:val="el-GR"/>
        </w:rPr>
      </w:pPr>
    </w:p>
    <w:p w14:paraId="077533B3" w14:textId="77777777" w:rsidR="00016A44" w:rsidRPr="002F5C4C" w:rsidRDefault="00016A44" w:rsidP="00016A44">
      <w:pPr>
        <w:jc w:val="both"/>
        <w:rPr>
          <w:rFonts w:ascii="Calibri" w:hAnsi="Calibri"/>
          <w:szCs w:val="22"/>
          <w:lang w:val="el-GR"/>
        </w:rPr>
      </w:pPr>
    </w:p>
    <w:p w14:paraId="364D1765" w14:textId="77777777" w:rsidR="00016A44" w:rsidRPr="002F5C4C" w:rsidRDefault="00016A44" w:rsidP="00016A44">
      <w:pPr>
        <w:numPr>
          <w:ilvl w:val="0"/>
          <w:numId w:val="61"/>
        </w:numPr>
        <w:rPr>
          <w:rFonts w:ascii="Calibri" w:hAnsi="Calibri"/>
          <w:b/>
          <w:bCs/>
          <w:szCs w:val="22"/>
          <w:lang w:val="el-GR"/>
        </w:rPr>
      </w:pPr>
      <w:r w:rsidRPr="002F5C4C">
        <w:rPr>
          <w:rFonts w:ascii="Calibri" w:hAnsi="Calibri"/>
          <w:b/>
          <w:bCs/>
          <w:szCs w:val="22"/>
          <w:lang w:val="el-GR"/>
        </w:rPr>
        <w:t xml:space="preserve">Όροι διαγωνισμού για τον έλεγχο των οικονομικών καταστάσεων του Δήμου Λάρνακας για τα έτη 2017-2026. Ορισμός Επιτροπής Αξιολόγησης. </w:t>
      </w:r>
    </w:p>
    <w:p w14:paraId="46874E77" w14:textId="77777777" w:rsidR="00016A44" w:rsidRPr="002F5C4C" w:rsidRDefault="00016A44" w:rsidP="00016A44">
      <w:pPr>
        <w:rPr>
          <w:rFonts w:ascii="Calibri" w:hAnsi="Calibri"/>
          <w:b/>
          <w:bCs/>
          <w:szCs w:val="22"/>
          <w:lang w:val="el-GR"/>
        </w:rPr>
      </w:pPr>
    </w:p>
    <w:p w14:paraId="78E7A1E2" w14:textId="77777777" w:rsidR="00016A44" w:rsidRDefault="00016A44" w:rsidP="00016A44">
      <w:pPr>
        <w:jc w:val="both"/>
        <w:rPr>
          <w:rFonts w:asciiTheme="minorHAnsi" w:hAnsiTheme="minorHAnsi" w:cstheme="minorHAnsi"/>
          <w:szCs w:val="22"/>
          <w:lang w:val="el-GR"/>
        </w:rPr>
      </w:pPr>
    </w:p>
    <w:p w14:paraId="693A48B8" w14:textId="77777777" w:rsidR="00016A44" w:rsidRPr="002F5C4C" w:rsidRDefault="00016A44" w:rsidP="00016A44">
      <w:pPr>
        <w:jc w:val="both"/>
        <w:rPr>
          <w:rFonts w:asciiTheme="minorHAnsi" w:hAnsiTheme="minorHAnsi" w:cstheme="minorHAnsi"/>
          <w:szCs w:val="22"/>
          <w:lang w:val="el-GR"/>
        </w:rPr>
      </w:pPr>
      <w:r w:rsidRPr="002F5C4C">
        <w:rPr>
          <w:rFonts w:asciiTheme="minorHAnsi" w:hAnsiTheme="minorHAnsi" w:cstheme="minorHAnsi"/>
          <w:szCs w:val="22"/>
          <w:lang w:val="el-GR"/>
        </w:rPr>
        <w:t>Η Επιτροπή ενημερώνεται για τους όρους που ετοιμάστηκαν</w:t>
      </w:r>
      <w:r>
        <w:rPr>
          <w:rFonts w:asciiTheme="minorHAnsi" w:hAnsiTheme="minorHAnsi" w:cstheme="minorHAnsi"/>
          <w:szCs w:val="22"/>
          <w:lang w:val="el-GR"/>
        </w:rPr>
        <w:t xml:space="preserve"> για</w:t>
      </w:r>
      <w:r w:rsidRPr="002F5C4C">
        <w:rPr>
          <w:rFonts w:asciiTheme="minorHAnsi" w:hAnsiTheme="minorHAnsi" w:cstheme="minorHAnsi"/>
          <w:szCs w:val="22"/>
          <w:lang w:val="el-GR"/>
        </w:rPr>
        <w:t xml:space="preserve"> τον έλεγχο των οικονομικών καταστάσεων του Δήμου Λάρνακας για τα έτη 2017-2026.</w:t>
      </w:r>
    </w:p>
    <w:p w14:paraId="7C04B127" w14:textId="77777777" w:rsidR="00016A44" w:rsidRPr="002F5C4C" w:rsidRDefault="00016A44" w:rsidP="00016A44">
      <w:pPr>
        <w:jc w:val="both"/>
        <w:rPr>
          <w:rFonts w:asciiTheme="minorHAnsi" w:hAnsiTheme="minorHAnsi" w:cstheme="minorHAnsi"/>
          <w:szCs w:val="22"/>
          <w:lang w:val="el-GR"/>
        </w:rPr>
      </w:pPr>
    </w:p>
    <w:p w14:paraId="5B0D1E1A" w14:textId="77777777" w:rsidR="00016A44" w:rsidRPr="002F5C4C" w:rsidRDefault="00016A44" w:rsidP="00016A44">
      <w:pPr>
        <w:jc w:val="both"/>
        <w:rPr>
          <w:rFonts w:asciiTheme="minorHAnsi" w:hAnsiTheme="minorHAnsi" w:cstheme="minorHAnsi"/>
          <w:szCs w:val="22"/>
          <w:lang w:val="el-GR"/>
        </w:rPr>
      </w:pPr>
      <w:r w:rsidRPr="002F5C4C">
        <w:rPr>
          <w:rFonts w:asciiTheme="minorHAnsi" w:hAnsiTheme="minorHAnsi" w:cstheme="minorHAnsi"/>
          <w:szCs w:val="22"/>
          <w:lang w:val="el-GR"/>
        </w:rPr>
        <w:t xml:space="preserve">Η εκτίμηση δαπάνης ανέρχεται στις €100.000,00 + ΦΠΑ για δέκα έτη και υπάρχει εγκεκριμένο, σχετικό με τη σύμβαση κονδύλι στον Προϋπολογισμό. </w:t>
      </w:r>
    </w:p>
    <w:p w14:paraId="2148ABE1" w14:textId="77777777" w:rsidR="00016A44" w:rsidRDefault="00016A44" w:rsidP="00016A44">
      <w:pPr>
        <w:jc w:val="both"/>
        <w:rPr>
          <w:rFonts w:asciiTheme="minorHAnsi" w:hAnsiTheme="minorHAnsi" w:cstheme="minorHAnsi"/>
          <w:szCs w:val="22"/>
          <w:lang w:val="el-GR"/>
        </w:rPr>
      </w:pPr>
    </w:p>
    <w:p w14:paraId="7BF6A7CF" w14:textId="77777777" w:rsidR="00016A44" w:rsidRPr="002844B4" w:rsidRDefault="00016A44" w:rsidP="00016A44">
      <w:pPr>
        <w:jc w:val="both"/>
        <w:rPr>
          <w:rFonts w:asciiTheme="minorHAnsi" w:hAnsiTheme="minorHAnsi" w:cstheme="minorHAnsi"/>
          <w:szCs w:val="22"/>
          <w:lang w:val="el-GR"/>
        </w:rPr>
      </w:pPr>
      <w:r w:rsidRPr="001437D9">
        <w:rPr>
          <w:rFonts w:asciiTheme="minorHAnsi" w:hAnsiTheme="minorHAnsi" w:cstheme="minorHAnsi"/>
          <w:szCs w:val="22"/>
          <w:lang w:val="el-GR"/>
        </w:rPr>
        <w:t xml:space="preserve">Με παρέμβαση του, ο Εσωτερικός Ελεγκτής, σημειώνει ότι σύμφωνα με τις γραπτές υποδείξεις του Γενικού Ελεγκτή της Δημοκρατίας (επιστολή </w:t>
      </w:r>
      <w:proofErr w:type="spellStart"/>
      <w:r w:rsidRPr="001437D9">
        <w:rPr>
          <w:rFonts w:asciiTheme="minorHAnsi" w:hAnsiTheme="minorHAnsi" w:cstheme="minorHAnsi"/>
          <w:szCs w:val="22"/>
          <w:lang w:val="el-GR"/>
        </w:rPr>
        <w:t>ημερ</w:t>
      </w:r>
      <w:proofErr w:type="spellEnd"/>
      <w:r w:rsidRPr="001437D9">
        <w:rPr>
          <w:rFonts w:asciiTheme="minorHAnsi" w:hAnsiTheme="minorHAnsi" w:cstheme="minorHAnsi"/>
          <w:szCs w:val="22"/>
          <w:lang w:val="el-GR"/>
        </w:rPr>
        <w:t>. 14/7/2025)) αναφορικά με τη διάρκεια των συμβάσεων ελέγχου των οικονομικών καταστάσεων, γίνεται σύσταση η διάρκεια της κάθε σύμβασης να μην υπερβαίνει τα πέντε (5) οικονομικά έτη.  Ως εκ τούτου, είναι πιο ορθό να προκηρυχτεί ένας διαγωνισμός για την περίοδο (2017-2021) και ακολούθως να προκηρυχτεί ένας άλλος δεύτερος διαγωνισμός για τα υπόλοιπα πέντε οικονομικά έτη (2022-2026).</w:t>
      </w:r>
    </w:p>
    <w:p w14:paraId="40909E92" w14:textId="77777777" w:rsidR="00016A44" w:rsidRPr="001437D9" w:rsidRDefault="00016A44" w:rsidP="00016A44">
      <w:pPr>
        <w:jc w:val="both"/>
        <w:rPr>
          <w:rFonts w:asciiTheme="minorHAnsi" w:hAnsiTheme="minorHAnsi" w:cstheme="minorHAnsi"/>
          <w:szCs w:val="22"/>
          <w:lang w:val="el-GR"/>
        </w:rPr>
      </w:pPr>
    </w:p>
    <w:p w14:paraId="07200FF3" w14:textId="77777777" w:rsidR="00016A44" w:rsidRPr="002F5C4C" w:rsidRDefault="00016A44" w:rsidP="00016A44">
      <w:pPr>
        <w:jc w:val="both"/>
        <w:rPr>
          <w:rFonts w:asciiTheme="minorHAnsi" w:hAnsiTheme="minorHAnsi" w:cstheme="minorHAnsi"/>
          <w:szCs w:val="22"/>
          <w:lang w:val="el-GR"/>
        </w:rPr>
      </w:pPr>
      <w:r w:rsidRPr="002F5C4C">
        <w:rPr>
          <w:rFonts w:asciiTheme="minorHAnsi" w:hAnsiTheme="minorHAnsi" w:cstheme="minorHAnsi"/>
          <w:szCs w:val="22"/>
          <w:lang w:val="el-GR"/>
        </w:rPr>
        <w:t>Η Επιτροπή αφού συζητά αποφασίζει και αφού λαμβάνει υπόψιν τα πιο πάνω, αποφασίζει έγκριση των όρων και προκήρυξη του διαγωνισμού για τον έλεγχο των οικονομικών καταστάσεων του Δήμου Λάρνακας για τα έτη 2017-2021 με προϋπολογισμό €50.000,00 + ΦΠΑ και ακολούθως να προκηρυχτεί ακόμη ένας διαγωνισμός για τα έτη 2022-2026 με προϋπολογισμό επίσης €50.000,00 + ΦΠΑ.</w:t>
      </w:r>
    </w:p>
    <w:p w14:paraId="741086A3" w14:textId="77777777" w:rsidR="00016A44" w:rsidRPr="002F5C4C" w:rsidRDefault="00016A44" w:rsidP="00016A44">
      <w:pPr>
        <w:jc w:val="both"/>
        <w:rPr>
          <w:rFonts w:asciiTheme="minorHAnsi" w:hAnsiTheme="minorHAnsi" w:cstheme="minorHAnsi"/>
          <w:b/>
          <w:bCs/>
          <w:szCs w:val="22"/>
          <w:lang w:val="el-GR"/>
        </w:rPr>
      </w:pPr>
    </w:p>
    <w:p w14:paraId="3909FF3F" w14:textId="77777777" w:rsidR="00016A44" w:rsidRPr="002F5C4C" w:rsidRDefault="00016A44" w:rsidP="00016A44">
      <w:pPr>
        <w:jc w:val="both"/>
        <w:rPr>
          <w:rFonts w:asciiTheme="minorHAnsi" w:hAnsiTheme="minorHAnsi" w:cstheme="minorHAnsi"/>
          <w:szCs w:val="22"/>
          <w:lang w:val="el-GR"/>
        </w:rPr>
      </w:pPr>
      <w:r w:rsidRPr="002F5C4C">
        <w:rPr>
          <w:rFonts w:asciiTheme="minorHAnsi" w:hAnsiTheme="minorHAnsi" w:cstheme="minorHAnsi"/>
          <w:szCs w:val="22"/>
          <w:lang w:val="el-GR"/>
        </w:rPr>
        <w:t>Ως Επιτροπή αξιολόγησης, γίνεται εισήγηση στο Συμβούλιο Προσφορών όπως οριστούν</w:t>
      </w:r>
    </w:p>
    <w:p w14:paraId="4F91DA3E" w14:textId="77777777" w:rsidR="00016A44" w:rsidRPr="002F5C4C" w:rsidRDefault="00016A44" w:rsidP="00016A44">
      <w:pPr>
        <w:jc w:val="both"/>
        <w:rPr>
          <w:rFonts w:asciiTheme="minorHAnsi" w:hAnsiTheme="minorHAnsi" w:cstheme="minorHAnsi"/>
          <w:szCs w:val="22"/>
          <w:lang w:val="el-GR"/>
        </w:rPr>
      </w:pPr>
      <w:r w:rsidRPr="002F5C4C">
        <w:rPr>
          <w:rFonts w:asciiTheme="minorHAnsi" w:hAnsiTheme="minorHAnsi" w:cstheme="minorHAnsi"/>
          <w:szCs w:val="22"/>
          <w:lang w:val="el-GR"/>
        </w:rPr>
        <w:t xml:space="preserve"> οι:</w:t>
      </w:r>
    </w:p>
    <w:p w14:paraId="6F164F16" w14:textId="77777777" w:rsidR="00487B66" w:rsidRPr="00487B66" w:rsidRDefault="00487B66" w:rsidP="00016A44">
      <w:pPr>
        <w:pStyle w:val="ListParagraph"/>
        <w:numPr>
          <w:ilvl w:val="0"/>
          <w:numId w:val="66"/>
        </w:numPr>
        <w:contextualSpacing/>
        <w:jc w:val="both"/>
        <w:rPr>
          <w:rFonts w:asciiTheme="minorHAnsi" w:hAnsiTheme="minorHAnsi" w:cstheme="minorHAnsi"/>
          <w:szCs w:val="22"/>
          <w:lang w:val="el-GR"/>
        </w:rPr>
      </w:pPr>
      <w:r>
        <w:rPr>
          <w:rFonts w:ascii="Calibri" w:hAnsi="Calibri" w:cs="Calibri"/>
          <w:szCs w:val="22"/>
          <w:lang w:val="el-GR"/>
        </w:rPr>
        <w:t>ΧΧΧΧΧΧΧΧ</w:t>
      </w:r>
    </w:p>
    <w:p w14:paraId="71B9090E" w14:textId="77777777" w:rsidR="00487B66" w:rsidRPr="00487B66" w:rsidRDefault="00487B66" w:rsidP="00016A44">
      <w:pPr>
        <w:pStyle w:val="ListParagraph"/>
        <w:numPr>
          <w:ilvl w:val="0"/>
          <w:numId w:val="66"/>
        </w:numPr>
        <w:contextualSpacing/>
        <w:jc w:val="both"/>
        <w:rPr>
          <w:rFonts w:asciiTheme="minorHAnsi" w:hAnsiTheme="minorHAnsi" w:cstheme="minorHAnsi"/>
          <w:szCs w:val="22"/>
          <w:lang w:val="el-GR"/>
        </w:rPr>
      </w:pPr>
      <w:r>
        <w:rPr>
          <w:rFonts w:ascii="Calibri" w:hAnsi="Calibri" w:cs="Calibri"/>
          <w:szCs w:val="22"/>
          <w:lang w:val="el-GR"/>
        </w:rPr>
        <w:t>ΧΧΧΧΧΧΧΧ</w:t>
      </w:r>
    </w:p>
    <w:p w14:paraId="58857CB9" w14:textId="77777777" w:rsidR="00487B66" w:rsidRPr="00487B66" w:rsidRDefault="00487B66" w:rsidP="00016A44">
      <w:pPr>
        <w:pStyle w:val="ListParagraph"/>
        <w:numPr>
          <w:ilvl w:val="0"/>
          <w:numId w:val="65"/>
        </w:numPr>
        <w:contextualSpacing/>
        <w:jc w:val="both"/>
        <w:rPr>
          <w:rFonts w:asciiTheme="minorHAnsi" w:hAnsiTheme="minorHAnsi" w:cstheme="minorHAnsi"/>
          <w:szCs w:val="22"/>
          <w:lang w:val="el-GR"/>
        </w:rPr>
      </w:pPr>
      <w:r>
        <w:rPr>
          <w:rFonts w:ascii="Calibri" w:hAnsi="Calibri" w:cs="Calibri"/>
          <w:szCs w:val="22"/>
          <w:lang w:val="el-GR"/>
        </w:rPr>
        <w:t>ΧΧΧΧΧΧΧΧ</w:t>
      </w:r>
    </w:p>
    <w:p w14:paraId="16027D9D" w14:textId="188B9879" w:rsidR="00016A44" w:rsidRPr="002F5C4C" w:rsidRDefault="00487B66" w:rsidP="00016A44">
      <w:pPr>
        <w:pStyle w:val="ListParagraph"/>
        <w:numPr>
          <w:ilvl w:val="0"/>
          <w:numId w:val="65"/>
        </w:numPr>
        <w:contextualSpacing/>
        <w:jc w:val="both"/>
        <w:rPr>
          <w:rFonts w:asciiTheme="minorHAnsi" w:hAnsiTheme="minorHAnsi" w:cstheme="minorHAnsi"/>
          <w:szCs w:val="22"/>
          <w:lang w:val="el-GR"/>
        </w:rPr>
      </w:pPr>
      <w:r>
        <w:rPr>
          <w:rFonts w:ascii="Calibri" w:hAnsi="Calibri" w:cs="Calibri"/>
          <w:szCs w:val="22"/>
          <w:lang w:val="el-GR"/>
        </w:rPr>
        <w:t>ΧΧΧΧΧΧΧΧ</w:t>
      </w:r>
      <w:r w:rsidR="00016A44" w:rsidRPr="002F5C4C">
        <w:rPr>
          <w:rFonts w:asciiTheme="minorHAnsi" w:hAnsiTheme="minorHAnsi" w:cstheme="minorHAnsi"/>
          <w:szCs w:val="22"/>
          <w:lang w:val="el-GR"/>
        </w:rPr>
        <w:t>.</w:t>
      </w:r>
    </w:p>
    <w:p w14:paraId="7899AE86" w14:textId="77777777" w:rsidR="00016A44" w:rsidRDefault="00016A44" w:rsidP="00016A44">
      <w:pPr>
        <w:rPr>
          <w:rFonts w:ascii="Calibri" w:hAnsi="Calibri"/>
          <w:b/>
          <w:bCs/>
          <w:szCs w:val="22"/>
          <w:lang w:val="el-GR"/>
        </w:rPr>
      </w:pPr>
    </w:p>
    <w:p w14:paraId="3AC93740" w14:textId="77777777" w:rsidR="00016A44" w:rsidRDefault="00016A44" w:rsidP="00016A44">
      <w:pPr>
        <w:rPr>
          <w:rFonts w:ascii="Calibri" w:hAnsi="Calibri"/>
          <w:b/>
          <w:bCs/>
          <w:szCs w:val="22"/>
          <w:lang w:val="el-GR"/>
        </w:rPr>
      </w:pPr>
    </w:p>
    <w:p w14:paraId="545973BB" w14:textId="77777777" w:rsidR="00016A44" w:rsidRPr="002F5C4C" w:rsidRDefault="00016A44" w:rsidP="00016A44">
      <w:pPr>
        <w:rPr>
          <w:rFonts w:ascii="Calibri" w:hAnsi="Calibri"/>
          <w:b/>
          <w:bCs/>
          <w:szCs w:val="22"/>
          <w:lang w:val="el-GR"/>
        </w:rPr>
      </w:pPr>
    </w:p>
    <w:p w14:paraId="06B9B2D7" w14:textId="77777777" w:rsidR="00016A44" w:rsidRPr="002F5C4C" w:rsidRDefault="00016A44" w:rsidP="00016A44">
      <w:pPr>
        <w:numPr>
          <w:ilvl w:val="0"/>
          <w:numId w:val="61"/>
        </w:numPr>
        <w:rPr>
          <w:rFonts w:ascii="Calibri" w:hAnsi="Calibri"/>
          <w:b/>
          <w:bCs/>
          <w:szCs w:val="22"/>
          <w:lang w:val="el-GR"/>
        </w:rPr>
      </w:pPr>
      <w:r w:rsidRPr="002F5C4C">
        <w:rPr>
          <w:rFonts w:ascii="Calibri" w:hAnsi="Calibri"/>
          <w:b/>
          <w:bCs/>
          <w:szCs w:val="22"/>
          <w:lang w:val="el-GR"/>
        </w:rPr>
        <w:t>Τροποποιητικά Διευκρινιστικά Έγγραφα:</w:t>
      </w:r>
      <w:r w:rsidRPr="002F5C4C">
        <w:rPr>
          <w:rFonts w:ascii="Calibri" w:hAnsi="Calibri"/>
          <w:b/>
          <w:bCs/>
          <w:szCs w:val="22"/>
          <w:lang w:val="el-GR"/>
        </w:rPr>
        <w:br/>
        <w:t xml:space="preserve">α. Προμήθεια και εγκατάσταση συστημάτων φωτισμού για το γήπεδο Βορόκληνης </w:t>
      </w:r>
      <w:proofErr w:type="spellStart"/>
      <w:r w:rsidRPr="002F5C4C">
        <w:rPr>
          <w:rFonts w:ascii="Calibri" w:hAnsi="Calibri"/>
          <w:b/>
          <w:bCs/>
          <w:szCs w:val="22"/>
          <w:lang w:val="el-GR"/>
        </w:rPr>
        <w:t>αρ</w:t>
      </w:r>
      <w:proofErr w:type="spellEnd"/>
      <w:r w:rsidRPr="002F5C4C">
        <w:rPr>
          <w:rFonts w:ascii="Calibri" w:hAnsi="Calibri"/>
          <w:b/>
          <w:bCs/>
          <w:szCs w:val="22"/>
          <w:lang w:val="el-GR"/>
        </w:rPr>
        <w:t xml:space="preserve">. </w:t>
      </w:r>
      <w:proofErr w:type="spellStart"/>
      <w:r w:rsidRPr="002F5C4C">
        <w:rPr>
          <w:rFonts w:ascii="Calibri" w:hAnsi="Calibri"/>
          <w:b/>
          <w:bCs/>
          <w:szCs w:val="22"/>
          <w:lang w:val="el-GR"/>
        </w:rPr>
        <w:t>διαγ</w:t>
      </w:r>
      <w:proofErr w:type="spellEnd"/>
      <w:r w:rsidRPr="002F5C4C">
        <w:rPr>
          <w:rFonts w:ascii="Calibri" w:hAnsi="Calibri"/>
          <w:b/>
          <w:bCs/>
          <w:szCs w:val="22"/>
          <w:lang w:val="el-GR"/>
        </w:rPr>
        <w:t>. 114/2025.</w:t>
      </w:r>
    </w:p>
    <w:p w14:paraId="1D0E96C8" w14:textId="77777777" w:rsidR="00016A44" w:rsidRPr="002F5C4C" w:rsidRDefault="00016A44" w:rsidP="00016A44">
      <w:pPr>
        <w:rPr>
          <w:rFonts w:ascii="Calibri" w:hAnsi="Calibri"/>
          <w:b/>
          <w:bCs/>
          <w:szCs w:val="22"/>
          <w:lang w:val="el-GR"/>
        </w:rPr>
      </w:pPr>
    </w:p>
    <w:p w14:paraId="53BB44BB" w14:textId="77777777" w:rsidR="00016A44" w:rsidRPr="002F5C4C" w:rsidRDefault="00016A44" w:rsidP="00016A44">
      <w:pPr>
        <w:rPr>
          <w:rFonts w:ascii="Calibri" w:hAnsi="Calibri"/>
          <w:szCs w:val="22"/>
          <w:lang w:val="el-GR"/>
        </w:rPr>
      </w:pPr>
      <w:r w:rsidRPr="002F5C4C">
        <w:rPr>
          <w:rFonts w:ascii="Calibri" w:hAnsi="Calibr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 σημείωμα αρ.1 .</w:t>
      </w:r>
    </w:p>
    <w:p w14:paraId="52489E1D" w14:textId="77777777" w:rsidR="00016A44" w:rsidRPr="002F5C4C" w:rsidRDefault="00016A44" w:rsidP="00016A44">
      <w:pPr>
        <w:pStyle w:val="ListParagraph"/>
        <w:ind w:left="1440"/>
        <w:rPr>
          <w:rFonts w:ascii="Calibri" w:hAnsi="Calibri"/>
          <w:szCs w:val="22"/>
          <w:lang w:val="el-GR"/>
        </w:rPr>
      </w:pPr>
      <w:r w:rsidRPr="002F5C4C">
        <w:rPr>
          <w:rFonts w:ascii="Calibri" w:hAnsi="Calibri"/>
          <w:szCs w:val="22"/>
          <w:lang w:val="el-GR"/>
        </w:rPr>
        <w:t xml:space="preserve"> </w:t>
      </w:r>
    </w:p>
    <w:p w14:paraId="46E692C1" w14:textId="77777777" w:rsidR="00016A44" w:rsidRPr="002F5C4C" w:rsidRDefault="00016A44" w:rsidP="00016A44">
      <w:pPr>
        <w:rPr>
          <w:rFonts w:ascii="Calibri" w:hAnsi="Calibri"/>
          <w:szCs w:val="22"/>
          <w:lang w:val="el-GR"/>
        </w:rPr>
      </w:pPr>
      <w:r w:rsidRPr="002F5C4C">
        <w:rPr>
          <w:rFonts w:ascii="Calibri" w:hAnsi="Calibri"/>
          <w:szCs w:val="22"/>
          <w:lang w:val="el-GR"/>
        </w:rPr>
        <w:t>Η Επιτροπή, αφού ενημερώνεται για το περιεχόμενο του πιο πάνω σημειώματος, το εγκρίνει καλυπτικά.</w:t>
      </w:r>
    </w:p>
    <w:p w14:paraId="1698D640" w14:textId="77777777" w:rsidR="00016A44" w:rsidRDefault="00016A44" w:rsidP="00016A44">
      <w:pPr>
        <w:rPr>
          <w:rFonts w:ascii="Calibri" w:hAnsi="Calibri"/>
          <w:szCs w:val="22"/>
          <w:lang w:val="el-GR"/>
        </w:rPr>
      </w:pPr>
    </w:p>
    <w:p w14:paraId="00600A74" w14:textId="77777777" w:rsidR="00016A44" w:rsidRDefault="00016A44" w:rsidP="00016A44">
      <w:pPr>
        <w:rPr>
          <w:rFonts w:ascii="Calibri" w:hAnsi="Calibri"/>
          <w:szCs w:val="22"/>
          <w:lang w:val="el-GR"/>
        </w:rPr>
      </w:pPr>
    </w:p>
    <w:p w14:paraId="7F7DB644" w14:textId="77777777" w:rsidR="00016A44" w:rsidRDefault="00016A44" w:rsidP="00016A44">
      <w:pPr>
        <w:rPr>
          <w:rFonts w:ascii="Calibri" w:hAnsi="Calibri"/>
          <w:szCs w:val="22"/>
          <w:lang w:val="el-GR"/>
        </w:rPr>
      </w:pPr>
    </w:p>
    <w:p w14:paraId="14C63C67" w14:textId="77777777" w:rsidR="00016A44" w:rsidRPr="002F5C4C" w:rsidRDefault="00016A44" w:rsidP="00016A44">
      <w:pPr>
        <w:rPr>
          <w:rFonts w:ascii="Calibri" w:hAnsi="Calibri"/>
          <w:szCs w:val="22"/>
          <w:lang w:val="el-GR"/>
        </w:rPr>
      </w:pPr>
    </w:p>
    <w:p w14:paraId="1407FA49" w14:textId="77777777" w:rsidR="00016A44" w:rsidRDefault="00016A44" w:rsidP="00016A44">
      <w:pPr>
        <w:rPr>
          <w:rFonts w:ascii="Calibri" w:hAnsi="Calibri"/>
          <w:b/>
          <w:bCs/>
          <w:szCs w:val="22"/>
          <w:lang w:val="el-GR"/>
        </w:rPr>
      </w:pPr>
    </w:p>
    <w:p w14:paraId="11198535" w14:textId="77777777" w:rsidR="00016A44" w:rsidRDefault="00016A44" w:rsidP="00016A44">
      <w:pPr>
        <w:rPr>
          <w:rFonts w:ascii="Calibri" w:hAnsi="Calibri"/>
          <w:b/>
          <w:bCs/>
          <w:szCs w:val="22"/>
          <w:lang w:val="el-GR"/>
        </w:rPr>
      </w:pPr>
    </w:p>
    <w:p w14:paraId="1B180F0F" w14:textId="77777777" w:rsidR="00016A44" w:rsidRDefault="00016A44" w:rsidP="00016A44">
      <w:pPr>
        <w:rPr>
          <w:rFonts w:ascii="Calibri" w:hAnsi="Calibri"/>
          <w:b/>
          <w:bCs/>
          <w:szCs w:val="22"/>
          <w:lang w:val="el-GR"/>
        </w:rPr>
      </w:pPr>
    </w:p>
    <w:p w14:paraId="05066CE6" w14:textId="77777777" w:rsidR="00016A44" w:rsidRPr="002F5C4C" w:rsidRDefault="00016A44" w:rsidP="00016A44">
      <w:pPr>
        <w:rPr>
          <w:rFonts w:ascii="Calibri" w:hAnsi="Calibri"/>
          <w:b/>
          <w:bCs/>
          <w:szCs w:val="22"/>
          <w:lang w:val="el-GR"/>
        </w:rPr>
      </w:pPr>
    </w:p>
    <w:p w14:paraId="628C5ABE" w14:textId="77777777" w:rsidR="00016A44" w:rsidRPr="002F5C4C" w:rsidRDefault="00016A44" w:rsidP="00016A44">
      <w:pPr>
        <w:ind w:left="1440"/>
        <w:rPr>
          <w:rFonts w:ascii="Calibri" w:hAnsi="Calibri"/>
          <w:b/>
          <w:bCs/>
          <w:szCs w:val="22"/>
          <w:lang w:val="el-GR"/>
        </w:rPr>
      </w:pPr>
      <w:r w:rsidRPr="002F5C4C">
        <w:rPr>
          <w:rFonts w:ascii="Calibri" w:hAnsi="Calibri"/>
          <w:b/>
          <w:bCs/>
          <w:szCs w:val="22"/>
          <w:lang w:val="el-GR"/>
        </w:rPr>
        <w:t xml:space="preserve">β. Προμήθεια και εγκατάσταση συστημάτων φωτισμού σε πάρκα των Δημοτικών Διαμερισμάτων Λάρνακας. </w:t>
      </w:r>
      <w:proofErr w:type="spellStart"/>
      <w:r w:rsidRPr="002F5C4C">
        <w:rPr>
          <w:rFonts w:ascii="Calibri" w:hAnsi="Calibri"/>
          <w:b/>
          <w:bCs/>
          <w:szCs w:val="22"/>
          <w:lang w:val="el-GR"/>
        </w:rPr>
        <w:t>Αρ</w:t>
      </w:r>
      <w:proofErr w:type="spellEnd"/>
      <w:r w:rsidRPr="002F5C4C">
        <w:rPr>
          <w:rFonts w:ascii="Calibri" w:hAnsi="Calibri"/>
          <w:b/>
          <w:bCs/>
          <w:szCs w:val="22"/>
          <w:lang w:val="el-GR"/>
        </w:rPr>
        <w:t xml:space="preserve">. </w:t>
      </w:r>
      <w:proofErr w:type="spellStart"/>
      <w:r w:rsidRPr="002F5C4C">
        <w:rPr>
          <w:rFonts w:ascii="Calibri" w:hAnsi="Calibri"/>
          <w:b/>
          <w:bCs/>
          <w:szCs w:val="22"/>
          <w:lang w:val="el-GR"/>
        </w:rPr>
        <w:t>Διαγ</w:t>
      </w:r>
      <w:proofErr w:type="spellEnd"/>
      <w:r w:rsidRPr="002F5C4C">
        <w:rPr>
          <w:rFonts w:ascii="Calibri" w:hAnsi="Calibri"/>
          <w:b/>
          <w:bCs/>
          <w:szCs w:val="22"/>
          <w:lang w:val="el-GR"/>
        </w:rPr>
        <w:t>. 115/2025.</w:t>
      </w:r>
    </w:p>
    <w:p w14:paraId="3D8204CA" w14:textId="77777777" w:rsidR="00016A44" w:rsidRPr="002F5C4C" w:rsidRDefault="00016A44" w:rsidP="00016A44">
      <w:pPr>
        <w:pStyle w:val="ListParagraph"/>
        <w:rPr>
          <w:rFonts w:ascii="Calibri" w:hAnsi="Calibri"/>
          <w:b/>
          <w:bCs/>
          <w:szCs w:val="22"/>
          <w:lang w:val="el-GR"/>
        </w:rPr>
      </w:pPr>
    </w:p>
    <w:p w14:paraId="3FFE8416" w14:textId="77777777" w:rsidR="00016A44" w:rsidRPr="002F5C4C" w:rsidRDefault="00016A44" w:rsidP="00016A44">
      <w:pPr>
        <w:rPr>
          <w:rFonts w:ascii="Calibri" w:hAnsi="Calibri"/>
          <w:szCs w:val="22"/>
          <w:lang w:val="el-GR"/>
        </w:rPr>
      </w:pPr>
      <w:r w:rsidRPr="002F5C4C">
        <w:rPr>
          <w:rFonts w:ascii="Calibri" w:hAnsi="Calibri"/>
          <w:szCs w:val="22"/>
          <w:lang w:val="el-GR"/>
        </w:rPr>
        <w:t>Η Επιτροπή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 σημείωμα αρ.1 .</w:t>
      </w:r>
    </w:p>
    <w:p w14:paraId="221E1D81" w14:textId="77777777" w:rsidR="00016A44" w:rsidRPr="002F5C4C" w:rsidRDefault="00016A44" w:rsidP="00016A44">
      <w:pPr>
        <w:pStyle w:val="ListParagraph"/>
        <w:ind w:left="1440"/>
        <w:rPr>
          <w:rFonts w:ascii="Calibri" w:hAnsi="Calibri"/>
          <w:szCs w:val="22"/>
          <w:lang w:val="el-GR"/>
        </w:rPr>
      </w:pPr>
      <w:r w:rsidRPr="002F5C4C">
        <w:rPr>
          <w:rFonts w:ascii="Calibri" w:hAnsi="Calibri"/>
          <w:szCs w:val="22"/>
          <w:lang w:val="el-GR"/>
        </w:rPr>
        <w:t xml:space="preserve"> </w:t>
      </w:r>
    </w:p>
    <w:p w14:paraId="785EABB6" w14:textId="77777777" w:rsidR="00016A44" w:rsidRPr="002F5C4C" w:rsidRDefault="00016A44" w:rsidP="00016A44">
      <w:pPr>
        <w:rPr>
          <w:rFonts w:ascii="Calibri" w:hAnsi="Calibri"/>
          <w:szCs w:val="22"/>
          <w:lang w:val="el-GR"/>
        </w:rPr>
      </w:pPr>
      <w:r w:rsidRPr="002F5C4C">
        <w:rPr>
          <w:rFonts w:ascii="Calibri" w:hAnsi="Calibri"/>
          <w:szCs w:val="22"/>
          <w:lang w:val="el-GR"/>
        </w:rPr>
        <w:t>Η Επιτροπή, αφού ενημερώνεται για το περιεχόμενο του πιο πάνω σημειώματος, το εγκρίνει καλυπτικά.</w:t>
      </w:r>
    </w:p>
    <w:sectPr w:rsidR="00016A44" w:rsidRPr="002F5C4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830F" w14:textId="77777777" w:rsidR="003C06E6" w:rsidRDefault="003C06E6" w:rsidP="00B926C4">
      <w:pPr>
        <w:spacing w:line="240" w:lineRule="auto"/>
      </w:pPr>
      <w:r>
        <w:separator/>
      </w:r>
    </w:p>
  </w:endnote>
  <w:endnote w:type="continuationSeparator" w:id="0">
    <w:p w14:paraId="4695CF6E" w14:textId="77777777" w:rsidR="003C06E6" w:rsidRDefault="003C06E6"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561A" w14:textId="77777777" w:rsidR="003C06E6" w:rsidRDefault="003C06E6" w:rsidP="00B926C4">
      <w:pPr>
        <w:spacing w:line="240" w:lineRule="auto"/>
      </w:pPr>
      <w:r>
        <w:separator/>
      </w:r>
    </w:p>
  </w:footnote>
  <w:footnote w:type="continuationSeparator" w:id="0">
    <w:p w14:paraId="0A65E445" w14:textId="77777777" w:rsidR="003C06E6" w:rsidRDefault="003C06E6"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51395E9D"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B85CCC">
                            <w:rPr>
                              <w:sz w:val="24"/>
                              <w:szCs w:val="24"/>
                              <w:lang w:val="el-GR"/>
                            </w:rPr>
                            <w:t>1</w:t>
                          </w:r>
                          <w:r w:rsidR="00BC418A">
                            <w:rPr>
                              <w:sz w:val="24"/>
                              <w:szCs w:val="24"/>
                              <w:lang w:val="el-GR"/>
                            </w:rPr>
                            <w:t>8</w:t>
                          </w:r>
                          <w:r w:rsidR="00B85CCC">
                            <w:rPr>
                              <w:sz w:val="24"/>
                              <w:szCs w:val="24"/>
                              <w:lang w:val="el-GR"/>
                            </w:rPr>
                            <w:t>/12/2025</w:t>
                          </w:r>
                          <w:r w:rsidRPr="000021A4">
                            <w:rPr>
                              <w:sz w:val="24"/>
                              <w:szCs w:val="24"/>
                              <w:lang w:val="el-GR"/>
                            </w:rPr>
                            <w:t xml:space="preserve"> ΑΡ. ΠΡΑΚΤ.</w:t>
                          </w:r>
                          <w:r w:rsidR="00094D1C">
                            <w:rPr>
                              <w:sz w:val="24"/>
                              <w:szCs w:val="24"/>
                              <w:lang w:val="el-GR"/>
                            </w:rPr>
                            <w:t>2</w:t>
                          </w:r>
                          <w:r w:rsidR="00BC418A">
                            <w:rPr>
                              <w:sz w:val="24"/>
                              <w:szCs w:val="24"/>
                              <w:lang w:val="el-GR"/>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51395E9D"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B85CCC">
                      <w:rPr>
                        <w:sz w:val="24"/>
                        <w:szCs w:val="24"/>
                        <w:lang w:val="el-GR"/>
                      </w:rPr>
                      <w:t>1</w:t>
                    </w:r>
                    <w:r w:rsidR="00BC418A">
                      <w:rPr>
                        <w:sz w:val="24"/>
                        <w:szCs w:val="24"/>
                        <w:lang w:val="el-GR"/>
                      </w:rPr>
                      <w:t>8</w:t>
                    </w:r>
                    <w:r w:rsidR="00B85CCC">
                      <w:rPr>
                        <w:sz w:val="24"/>
                        <w:szCs w:val="24"/>
                        <w:lang w:val="el-GR"/>
                      </w:rPr>
                      <w:t>/12/2025</w:t>
                    </w:r>
                    <w:r w:rsidRPr="000021A4">
                      <w:rPr>
                        <w:sz w:val="24"/>
                        <w:szCs w:val="24"/>
                        <w:lang w:val="el-GR"/>
                      </w:rPr>
                      <w:t xml:space="preserve"> ΑΡ. ΠΡΑΚΤ.</w:t>
                    </w:r>
                    <w:r w:rsidR="00094D1C">
                      <w:rPr>
                        <w:sz w:val="24"/>
                        <w:szCs w:val="24"/>
                        <w:lang w:val="el-GR"/>
                      </w:rPr>
                      <w:t>2</w:t>
                    </w:r>
                    <w:r w:rsidR="00BC418A">
                      <w:rPr>
                        <w:sz w:val="24"/>
                        <w:szCs w:val="24"/>
                        <w:lang w:val="el-GR"/>
                      </w:rPr>
                      <w:t>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47"/>
    <w:multiLevelType w:val="hybridMultilevel"/>
    <w:tmpl w:val="B90C7F32"/>
    <w:lvl w:ilvl="0" w:tplc="881AAC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4BCF"/>
    <w:multiLevelType w:val="hybridMultilevel"/>
    <w:tmpl w:val="CB948618"/>
    <w:lvl w:ilvl="0" w:tplc="FFFFFFFF">
      <w:start w:val="8"/>
      <w:numFmt w:val="decimal"/>
      <w:lvlText w:val="%1."/>
      <w:lvlJc w:val="left"/>
      <w:pPr>
        <w:ind w:left="2520" w:hanging="360"/>
      </w:pPr>
      <w:rPr>
        <w:rFonts w:asciiTheme="minorHAnsi" w:hAnsiTheme="minorHAnsi" w:cstheme="minorHAnsi"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7B7458"/>
    <w:multiLevelType w:val="hybridMultilevel"/>
    <w:tmpl w:val="4E5C8276"/>
    <w:lvl w:ilvl="0" w:tplc="FA3ED57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 w15:restartNumberingAfterBreak="0">
    <w:nsid w:val="09FA6469"/>
    <w:multiLevelType w:val="hybridMultilevel"/>
    <w:tmpl w:val="B154877A"/>
    <w:lvl w:ilvl="0" w:tplc="0526FAC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0BAA27F2"/>
    <w:multiLevelType w:val="multilevel"/>
    <w:tmpl w:val="4AB8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0C827C8E"/>
    <w:multiLevelType w:val="hybridMultilevel"/>
    <w:tmpl w:val="AF8E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790B20"/>
    <w:multiLevelType w:val="hybridMultilevel"/>
    <w:tmpl w:val="94482A6A"/>
    <w:lvl w:ilvl="0" w:tplc="AEB623D8">
      <w:start w:val="1"/>
      <w:numFmt w:val="decimal"/>
      <w:lvlText w:val="%1."/>
      <w:lvlJc w:val="left"/>
      <w:pPr>
        <w:ind w:left="720" w:hanging="360"/>
      </w:pPr>
      <w:rPr>
        <w:rFonts w:ascii="Arial" w:eastAsia="Times New Roman"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11D84314"/>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439E6"/>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E7E14"/>
    <w:multiLevelType w:val="hybridMultilevel"/>
    <w:tmpl w:val="77AA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EE0387"/>
    <w:multiLevelType w:val="hybridMultilevel"/>
    <w:tmpl w:val="797C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55555C"/>
    <w:multiLevelType w:val="hybridMultilevel"/>
    <w:tmpl w:val="D5525D72"/>
    <w:lvl w:ilvl="0" w:tplc="8A3216F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FA41BD"/>
    <w:multiLevelType w:val="hybridMultilevel"/>
    <w:tmpl w:val="BCE6349A"/>
    <w:lvl w:ilvl="0" w:tplc="4B101108">
      <w:start w:val="16"/>
      <w:numFmt w:val="decimal"/>
      <w:lvlText w:val="%1."/>
      <w:lvlJc w:val="left"/>
      <w:pPr>
        <w:ind w:left="1997" w:hanging="360"/>
      </w:pPr>
      <w:rPr>
        <w:rFonts w:hint="default"/>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23" w15:restartNumberingAfterBreak="0">
    <w:nsid w:val="21B37E13"/>
    <w:multiLevelType w:val="hybridMultilevel"/>
    <w:tmpl w:val="D2F0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EA04A1"/>
    <w:multiLevelType w:val="hybridMultilevel"/>
    <w:tmpl w:val="49441B42"/>
    <w:lvl w:ilvl="0" w:tplc="FA3ED576">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B9E0921"/>
    <w:multiLevelType w:val="hybridMultilevel"/>
    <w:tmpl w:val="1A602400"/>
    <w:lvl w:ilvl="0" w:tplc="26F884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2069B8"/>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E8A128D"/>
    <w:multiLevelType w:val="hybridMultilevel"/>
    <w:tmpl w:val="B53C3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1C339AB"/>
    <w:multiLevelType w:val="hybridMultilevel"/>
    <w:tmpl w:val="339AF97E"/>
    <w:lvl w:ilvl="0" w:tplc="E3DE5C16">
      <w:start w:val="15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F43D9D"/>
    <w:multiLevelType w:val="hybridMultilevel"/>
    <w:tmpl w:val="EBE8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3A7C7365"/>
    <w:multiLevelType w:val="hybridMultilevel"/>
    <w:tmpl w:val="62224A8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545F10FE"/>
    <w:multiLevelType w:val="hybridMultilevel"/>
    <w:tmpl w:val="8BA6D20E"/>
    <w:lvl w:ilvl="0" w:tplc="290E717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740873"/>
    <w:multiLevelType w:val="hybridMultilevel"/>
    <w:tmpl w:val="A9F8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0C7C65"/>
    <w:multiLevelType w:val="hybridMultilevel"/>
    <w:tmpl w:val="CB948618"/>
    <w:lvl w:ilvl="0" w:tplc="ECBA378E">
      <w:start w:val="8"/>
      <w:numFmt w:val="decimal"/>
      <w:lvlText w:val="%1."/>
      <w:lvlJc w:val="left"/>
      <w:pPr>
        <w:ind w:left="2520" w:hanging="360"/>
      </w:pPr>
      <w:rPr>
        <w:rFonts w:asciiTheme="minorHAnsi" w:hAnsiTheme="minorHAnsi" w:cs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5CCA02C0"/>
    <w:multiLevelType w:val="hybridMultilevel"/>
    <w:tmpl w:val="2DA6C4D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5"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619C5F12"/>
    <w:multiLevelType w:val="hybridMultilevel"/>
    <w:tmpl w:val="8DB4A6FE"/>
    <w:lvl w:ilvl="0" w:tplc="70AE64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61C04F94"/>
    <w:multiLevelType w:val="hybridMultilevel"/>
    <w:tmpl w:val="8D3CC828"/>
    <w:lvl w:ilvl="0" w:tplc="5DF61EB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44B8E"/>
    <w:multiLevelType w:val="hybridMultilevel"/>
    <w:tmpl w:val="B7526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58059C"/>
    <w:multiLevelType w:val="hybridMultilevel"/>
    <w:tmpl w:val="D4F8BA50"/>
    <w:lvl w:ilvl="0" w:tplc="03F4E35C">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101568"/>
    <w:multiLevelType w:val="hybridMultilevel"/>
    <w:tmpl w:val="690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DC0224F"/>
    <w:multiLevelType w:val="hybridMultilevel"/>
    <w:tmpl w:val="C6D6827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7" w15:restartNumberingAfterBreak="0">
    <w:nsid w:val="6DDB2E15"/>
    <w:multiLevelType w:val="hybridMultilevel"/>
    <w:tmpl w:val="93A6B004"/>
    <w:lvl w:ilvl="0" w:tplc="002C00D6">
      <w:start w:val="1"/>
      <w:numFmt w:val="decimal"/>
      <w:lvlText w:val="%1."/>
      <w:lvlJc w:val="left"/>
      <w:pPr>
        <w:ind w:left="720" w:hanging="360"/>
      </w:pPr>
      <w:rPr>
        <w:rFonts w:ascii="Times New Roman" w:eastAsia="Times New Roman" w:hAnsi="Times New Roman" w:cs="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8" w15:restartNumberingAfterBreak="0">
    <w:nsid w:val="6EA860E0"/>
    <w:multiLevelType w:val="hybridMultilevel"/>
    <w:tmpl w:val="24B8E9DE"/>
    <w:lvl w:ilvl="0" w:tplc="E9C0E94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6A7A52"/>
    <w:multiLevelType w:val="hybridMultilevel"/>
    <w:tmpl w:val="7562D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1" w15:restartNumberingAfterBreak="0">
    <w:nsid w:val="79300330"/>
    <w:multiLevelType w:val="hybridMultilevel"/>
    <w:tmpl w:val="9E384924"/>
    <w:lvl w:ilvl="0" w:tplc="76146D0C">
      <w:start w:val="1"/>
      <w:numFmt w:val="decimal"/>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3"/>
  </w:num>
  <w:num w:numId="2" w16cid:durableId="131607568">
    <w:abstractNumId w:val="53"/>
  </w:num>
  <w:num w:numId="3" w16cid:durableId="1159812256">
    <w:abstractNumId w:val="47"/>
  </w:num>
  <w:num w:numId="4" w16cid:durableId="1135833234">
    <w:abstractNumId w:val="41"/>
  </w:num>
  <w:num w:numId="5" w16cid:durableId="878511262">
    <w:abstractNumId w:val="24"/>
  </w:num>
  <w:num w:numId="6" w16cid:durableId="769659918">
    <w:abstractNumId w:val="15"/>
  </w:num>
  <w:num w:numId="7" w16cid:durableId="1012296439">
    <w:abstractNumId w:val="21"/>
  </w:num>
  <w:num w:numId="8" w16cid:durableId="1521310908">
    <w:abstractNumId w:val="13"/>
  </w:num>
  <w:num w:numId="9" w16cid:durableId="932933650">
    <w:abstractNumId w:val="2"/>
  </w:num>
  <w:num w:numId="10" w16cid:durableId="1110196497">
    <w:abstractNumId w:val="33"/>
  </w:num>
  <w:num w:numId="11" w16cid:durableId="1633512715">
    <w:abstractNumId w:val="17"/>
  </w:num>
  <w:num w:numId="12" w16cid:durableId="2053536559">
    <w:abstractNumId w:val="34"/>
  </w:num>
  <w:num w:numId="13" w16cid:durableId="983579659">
    <w:abstractNumId w:val="5"/>
  </w:num>
  <w:num w:numId="14" w16cid:durableId="645627232">
    <w:abstractNumId w:val="19"/>
  </w:num>
  <w:num w:numId="15" w16cid:durableId="1387146101">
    <w:abstractNumId w:val="34"/>
  </w:num>
  <w:num w:numId="16" w16cid:durableId="39062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40"/>
  </w:num>
  <w:num w:numId="18" w16cid:durableId="1503619933">
    <w:abstractNumId w:val="7"/>
  </w:num>
  <w:num w:numId="19" w16cid:durableId="251940234">
    <w:abstractNumId w:val="37"/>
  </w:num>
  <w:num w:numId="20" w16cid:durableId="15355808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42"/>
  </w:num>
  <w:num w:numId="23" w16cid:durableId="466826050">
    <w:abstractNumId w:val="31"/>
  </w:num>
  <w:num w:numId="24" w16cid:durableId="1328052731">
    <w:abstractNumId w:val="51"/>
  </w:num>
  <w:num w:numId="25" w16cid:durableId="790436038">
    <w:abstractNumId w:val="60"/>
  </w:num>
  <w:num w:numId="26" w16cid:durableId="1877893171">
    <w:abstractNumId w:val="46"/>
  </w:num>
  <w:num w:numId="27" w16cid:durableId="1863712869">
    <w:abstractNumId w:val="9"/>
  </w:num>
  <w:num w:numId="28" w16cid:durableId="202056402">
    <w:abstractNumId w:val="35"/>
  </w:num>
  <w:num w:numId="29" w16cid:durableId="1386569002">
    <w:abstractNumId w:val="55"/>
  </w:num>
  <w:num w:numId="30" w16cid:durableId="683096115">
    <w:abstractNumId w:val="45"/>
  </w:num>
  <w:num w:numId="31" w16cid:durableId="1982923326">
    <w:abstractNumId w:val="38"/>
  </w:num>
  <w:num w:numId="32" w16cid:durableId="628903793">
    <w:abstractNumId w:val="43"/>
  </w:num>
  <w:num w:numId="33" w16cid:durableId="464860608">
    <w:abstractNumId w:val="1"/>
  </w:num>
  <w:num w:numId="34" w16cid:durableId="1254364777">
    <w:abstractNumId w:val="58"/>
  </w:num>
  <w:num w:numId="35" w16cid:durableId="818882683">
    <w:abstractNumId w:val="54"/>
  </w:num>
  <w:num w:numId="36" w16cid:durableId="827017853">
    <w:abstractNumId w:val="39"/>
  </w:num>
  <w:num w:numId="37" w16cid:durableId="2056737495">
    <w:abstractNumId w:val="16"/>
  </w:num>
  <w:num w:numId="38" w16cid:durableId="683897243">
    <w:abstractNumId w:val="20"/>
  </w:num>
  <w:num w:numId="39" w16cid:durableId="2130274084">
    <w:abstractNumId w:val="18"/>
  </w:num>
  <w:num w:numId="40" w16cid:durableId="537276984">
    <w:abstractNumId w:val="28"/>
  </w:num>
  <w:num w:numId="41" w16cid:durableId="16680478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8543780">
    <w:abstractNumId w:val="23"/>
  </w:num>
  <w:num w:numId="43" w16cid:durableId="670371879">
    <w:abstractNumId w:val="10"/>
  </w:num>
  <w:num w:numId="44" w16cid:durableId="1598173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01175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2733835">
    <w:abstractNumId w:val="25"/>
  </w:num>
  <w:num w:numId="47" w16cid:durableId="251085124">
    <w:abstractNumId w:val="4"/>
  </w:num>
  <w:num w:numId="48" w16cid:durableId="4955370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1641576">
    <w:abstractNumId w:val="50"/>
  </w:num>
  <w:num w:numId="50" w16cid:durableId="279262052">
    <w:abstractNumId w:val="59"/>
  </w:num>
  <w:num w:numId="51" w16cid:durableId="1118721710">
    <w:abstractNumId w:val="30"/>
  </w:num>
  <w:num w:numId="52" w16cid:durableId="660354465">
    <w:abstractNumId w:val="32"/>
  </w:num>
  <w:num w:numId="53" w16cid:durableId="234166924">
    <w:abstractNumId w:val="26"/>
  </w:num>
  <w:num w:numId="54" w16cid:durableId="1738354388">
    <w:abstractNumId w:val="14"/>
  </w:num>
  <w:num w:numId="55" w16cid:durableId="329868846">
    <w:abstractNumId w:val="27"/>
  </w:num>
  <w:num w:numId="56" w16cid:durableId="1634485016">
    <w:abstractNumId w:val="48"/>
  </w:num>
  <w:num w:numId="57" w16cid:durableId="620310719">
    <w:abstractNumId w:val="0"/>
  </w:num>
  <w:num w:numId="58" w16cid:durableId="554925857">
    <w:abstractNumId w:val="29"/>
  </w:num>
  <w:num w:numId="59" w16cid:durableId="165824579">
    <w:abstractNumId w:val="12"/>
  </w:num>
  <w:num w:numId="60" w16cid:durableId="8877464">
    <w:abstractNumId w:val="22"/>
  </w:num>
  <w:num w:numId="61" w16cid:durableId="514003400">
    <w:abstractNumId w:val="61"/>
  </w:num>
  <w:num w:numId="62" w16cid:durableId="2081636799">
    <w:abstractNumId w:val="6"/>
  </w:num>
  <w:num w:numId="63" w16cid:durableId="192349361">
    <w:abstractNumId w:val="8"/>
  </w:num>
  <w:num w:numId="64" w16cid:durableId="1173836531">
    <w:abstractNumId w:val="52"/>
  </w:num>
  <w:num w:numId="65" w16cid:durableId="588923538">
    <w:abstractNumId w:val="36"/>
  </w:num>
  <w:num w:numId="66" w16cid:durableId="176287634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16A44"/>
    <w:rsid w:val="00021FC0"/>
    <w:rsid w:val="00055F6A"/>
    <w:rsid w:val="00070175"/>
    <w:rsid w:val="00071E60"/>
    <w:rsid w:val="0008638A"/>
    <w:rsid w:val="00087205"/>
    <w:rsid w:val="00094D1C"/>
    <w:rsid w:val="000A6ADB"/>
    <w:rsid w:val="000B13A2"/>
    <w:rsid w:val="000C2758"/>
    <w:rsid w:val="000E3ED2"/>
    <w:rsid w:val="000F19A1"/>
    <w:rsid w:val="000F3810"/>
    <w:rsid w:val="001062A2"/>
    <w:rsid w:val="00110030"/>
    <w:rsid w:val="00115C61"/>
    <w:rsid w:val="00147556"/>
    <w:rsid w:val="00153FC8"/>
    <w:rsid w:val="00161DE1"/>
    <w:rsid w:val="00173FE6"/>
    <w:rsid w:val="0017452A"/>
    <w:rsid w:val="0018187E"/>
    <w:rsid w:val="00181D9F"/>
    <w:rsid w:val="001856ED"/>
    <w:rsid w:val="001862AF"/>
    <w:rsid w:val="0019145F"/>
    <w:rsid w:val="00192379"/>
    <w:rsid w:val="001A67AC"/>
    <w:rsid w:val="001A7763"/>
    <w:rsid w:val="001B6F8F"/>
    <w:rsid w:val="001E7E1B"/>
    <w:rsid w:val="001F4AF5"/>
    <w:rsid w:val="001F53B7"/>
    <w:rsid w:val="001F78D3"/>
    <w:rsid w:val="00202B4A"/>
    <w:rsid w:val="002104FB"/>
    <w:rsid w:val="00210A9F"/>
    <w:rsid w:val="00212E73"/>
    <w:rsid w:val="00223B16"/>
    <w:rsid w:val="00224828"/>
    <w:rsid w:val="00225CFF"/>
    <w:rsid w:val="00227D92"/>
    <w:rsid w:val="00253688"/>
    <w:rsid w:val="00256B93"/>
    <w:rsid w:val="002601FE"/>
    <w:rsid w:val="00260730"/>
    <w:rsid w:val="00280CE9"/>
    <w:rsid w:val="002824C2"/>
    <w:rsid w:val="00291FBC"/>
    <w:rsid w:val="002924C6"/>
    <w:rsid w:val="00294EB1"/>
    <w:rsid w:val="00296050"/>
    <w:rsid w:val="002A5F31"/>
    <w:rsid w:val="002A67DD"/>
    <w:rsid w:val="002C3D9E"/>
    <w:rsid w:val="002C6F78"/>
    <w:rsid w:val="002F34AD"/>
    <w:rsid w:val="002F36A8"/>
    <w:rsid w:val="003031A9"/>
    <w:rsid w:val="00310701"/>
    <w:rsid w:val="00313063"/>
    <w:rsid w:val="003144C5"/>
    <w:rsid w:val="00331817"/>
    <w:rsid w:val="00342B15"/>
    <w:rsid w:val="00366898"/>
    <w:rsid w:val="00366D2B"/>
    <w:rsid w:val="0036753D"/>
    <w:rsid w:val="00390A00"/>
    <w:rsid w:val="003B185E"/>
    <w:rsid w:val="003B4E1B"/>
    <w:rsid w:val="003C06E6"/>
    <w:rsid w:val="003D0080"/>
    <w:rsid w:val="003D060E"/>
    <w:rsid w:val="003E1708"/>
    <w:rsid w:val="003E1990"/>
    <w:rsid w:val="003E5A12"/>
    <w:rsid w:val="003E673C"/>
    <w:rsid w:val="003F344F"/>
    <w:rsid w:val="003F6D50"/>
    <w:rsid w:val="00424C97"/>
    <w:rsid w:val="00443D4A"/>
    <w:rsid w:val="00445A04"/>
    <w:rsid w:val="004843EB"/>
    <w:rsid w:val="00487B66"/>
    <w:rsid w:val="004A2B34"/>
    <w:rsid w:val="004A6EC7"/>
    <w:rsid w:val="004D1379"/>
    <w:rsid w:val="004E521B"/>
    <w:rsid w:val="004F419A"/>
    <w:rsid w:val="0050112E"/>
    <w:rsid w:val="0050233A"/>
    <w:rsid w:val="00503894"/>
    <w:rsid w:val="00533EF1"/>
    <w:rsid w:val="00537297"/>
    <w:rsid w:val="0054017B"/>
    <w:rsid w:val="00574365"/>
    <w:rsid w:val="005A416A"/>
    <w:rsid w:val="005B1809"/>
    <w:rsid w:val="005C1566"/>
    <w:rsid w:val="005C50A1"/>
    <w:rsid w:val="005D1F59"/>
    <w:rsid w:val="006016C6"/>
    <w:rsid w:val="00605E8A"/>
    <w:rsid w:val="00611613"/>
    <w:rsid w:val="00612A10"/>
    <w:rsid w:val="006136BC"/>
    <w:rsid w:val="006136E5"/>
    <w:rsid w:val="00615DB9"/>
    <w:rsid w:val="006478D3"/>
    <w:rsid w:val="00671E36"/>
    <w:rsid w:val="006804F9"/>
    <w:rsid w:val="00684B13"/>
    <w:rsid w:val="006947B6"/>
    <w:rsid w:val="006963BC"/>
    <w:rsid w:val="006A066F"/>
    <w:rsid w:val="006A3467"/>
    <w:rsid w:val="006B6BF3"/>
    <w:rsid w:val="006C6CA3"/>
    <w:rsid w:val="006D28A1"/>
    <w:rsid w:val="006D3AA7"/>
    <w:rsid w:val="0070544E"/>
    <w:rsid w:val="007069F8"/>
    <w:rsid w:val="00722A0E"/>
    <w:rsid w:val="0072345A"/>
    <w:rsid w:val="00730B63"/>
    <w:rsid w:val="00740902"/>
    <w:rsid w:val="007512F2"/>
    <w:rsid w:val="007654BD"/>
    <w:rsid w:val="00773D6D"/>
    <w:rsid w:val="00781400"/>
    <w:rsid w:val="00795226"/>
    <w:rsid w:val="00796343"/>
    <w:rsid w:val="007A46A0"/>
    <w:rsid w:val="007B56BE"/>
    <w:rsid w:val="007C015E"/>
    <w:rsid w:val="007C57BF"/>
    <w:rsid w:val="007D16A4"/>
    <w:rsid w:val="007D5770"/>
    <w:rsid w:val="007E197C"/>
    <w:rsid w:val="008041BE"/>
    <w:rsid w:val="00807B27"/>
    <w:rsid w:val="00841EC7"/>
    <w:rsid w:val="00852C60"/>
    <w:rsid w:val="00867F16"/>
    <w:rsid w:val="008736F9"/>
    <w:rsid w:val="008813AC"/>
    <w:rsid w:val="00891A00"/>
    <w:rsid w:val="008A10BF"/>
    <w:rsid w:val="008B350E"/>
    <w:rsid w:val="008B3D07"/>
    <w:rsid w:val="008C67AB"/>
    <w:rsid w:val="008D3692"/>
    <w:rsid w:val="008D40D3"/>
    <w:rsid w:val="008D540C"/>
    <w:rsid w:val="008E2D35"/>
    <w:rsid w:val="008F45BB"/>
    <w:rsid w:val="008F49AC"/>
    <w:rsid w:val="00905292"/>
    <w:rsid w:val="0091045D"/>
    <w:rsid w:val="00914D6E"/>
    <w:rsid w:val="00923AF5"/>
    <w:rsid w:val="009307F2"/>
    <w:rsid w:val="0093238D"/>
    <w:rsid w:val="00935933"/>
    <w:rsid w:val="00953976"/>
    <w:rsid w:val="0095527B"/>
    <w:rsid w:val="009556CC"/>
    <w:rsid w:val="00963F50"/>
    <w:rsid w:val="00967873"/>
    <w:rsid w:val="00974AD3"/>
    <w:rsid w:val="00980BFA"/>
    <w:rsid w:val="009B33B2"/>
    <w:rsid w:val="009C6487"/>
    <w:rsid w:val="009D48F8"/>
    <w:rsid w:val="009D5427"/>
    <w:rsid w:val="009E2D6B"/>
    <w:rsid w:val="00A025B7"/>
    <w:rsid w:val="00A12DBB"/>
    <w:rsid w:val="00A24830"/>
    <w:rsid w:val="00A27553"/>
    <w:rsid w:val="00A77BE4"/>
    <w:rsid w:val="00A82205"/>
    <w:rsid w:val="00AB067D"/>
    <w:rsid w:val="00AB15D3"/>
    <w:rsid w:val="00AB2A67"/>
    <w:rsid w:val="00AB7B79"/>
    <w:rsid w:val="00AD4759"/>
    <w:rsid w:val="00AE0002"/>
    <w:rsid w:val="00AE0DD7"/>
    <w:rsid w:val="00AF5546"/>
    <w:rsid w:val="00AF6CC9"/>
    <w:rsid w:val="00B32D96"/>
    <w:rsid w:val="00B43A55"/>
    <w:rsid w:val="00B519C4"/>
    <w:rsid w:val="00B55DE3"/>
    <w:rsid w:val="00B85CCC"/>
    <w:rsid w:val="00B868D9"/>
    <w:rsid w:val="00B926C4"/>
    <w:rsid w:val="00BB5CE2"/>
    <w:rsid w:val="00BC31D7"/>
    <w:rsid w:val="00BC418A"/>
    <w:rsid w:val="00BD775E"/>
    <w:rsid w:val="00BE3776"/>
    <w:rsid w:val="00BF16B0"/>
    <w:rsid w:val="00BF4E34"/>
    <w:rsid w:val="00BF53F1"/>
    <w:rsid w:val="00C035E7"/>
    <w:rsid w:val="00C122C1"/>
    <w:rsid w:val="00C23140"/>
    <w:rsid w:val="00C2589E"/>
    <w:rsid w:val="00C3027F"/>
    <w:rsid w:val="00C414AC"/>
    <w:rsid w:val="00C47715"/>
    <w:rsid w:val="00C53EDA"/>
    <w:rsid w:val="00C57B63"/>
    <w:rsid w:val="00C61BF1"/>
    <w:rsid w:val="00C71D67"/>
    <w:rsid w:val="00C92F8E"/>
    <w:rsid w:val="00C94EDF"/>
    <w:rsid w:val="00CA5BAA"/>
    <w:rsid w:val="00CB0356"/>
    <w:rsid w:val="00CD7AD9"/>
    <w:rsid w:val="00CE695B"/>
    <w:rsid w:val="00D0011B"/>
    <w:rsid w:val="00D02ECD"/>
    <w:rsid w:val="00D03516"/>
    <w:rsid w:val="00D12BD5"/>
    <w:rsid w:val="00D25E66"/>
    <w:rsid w:val="00D33493"/>
    <w:rsid w:val="00D51544"/>
    <w:rsid w:val="00D51A42"/>
    <w:rsid w:val="00D61730"/>
    <w:rsid w:val="00D6325B"/>
    <w:rsid w:val="00D86978"/>
    <w:rsid w:val="00DB1A0A"/>
    <w:rsid w:val="00DB42F2"/>
    <w:rsid w:val="00DB5393"/>
    <w:rsid w:val="00DC06C5"/>
    <w:rsid w:val="00DD4BDD"/>
    <w:rsid w:val="00E01F38"/>
    <w:rsid w:val="00E20FDC"/>
    <w:rsid w:val="00E45E13"/>
    <w:rsid w:val="00E72F35"/>
    <w:rsid w:val="00E81246"/>
    <w:rsid w:val="00E9109D"/>
    <w:rsid w:val="00E919FC"/>
    <w:rsid w:val="00E97BD1"/>
    <w:rsid w:val="00EA36BE"/>
    <w:rsid w:val="00EA518A"/>
    <w:rsid w:val="00EB3355"/>
    <w:rsid w:val="00EB68D8"/>
    <w:rsid w:val="00EC391F"/>
    <w:rsid w:val="00ED6B50"/>
    <w:rsid w:val="00ED77AF"/>
    <w:rsid w:val="00F03C62"/>
    <w:rsid w:val="00F04793"/>
    <w:rsid w:val="00F1416A"/>
    <w:rsid w:val="00F14A63"/>
    <w:rsid w:val="00F16E83"/>
    <w:rsid w:val="00F21BE5"/>
    <w:rsid w:val="00F371E7"/>
    <w:rsid w:val="00F44CFF"/>
    <w:rsid w:val="00F719A5"/>
    <w:rsid w:val="00F806B2"/>
    <w:rsid w:val="00F91B7B"/>
    <w:rsid w:val="00F9240A"/>
    <w:rsid w:val="00FB2CDD"/>
    <w:rsid w:val="00FB5262"/>
    <w:rsid w:val="00FB5E21"/>
    <w:rsid w:val="00FC0387"/>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3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47556"/>
    <w:pPr>
      <w:spacing w:before="100" w:beforeAutospacing="1" w:after="100" w:afterAutospacing="1" w:line="240" w:lineRule="auto"/>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2A474-973D-4F88-A3B7-566B4F6E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2026-02-19T07:04:00Z</cp:lastPrinted>
  <dcterms:created xsi:type="dcterms:W3CDTF">2026-05-07T10:03:00Z</dcterms:created>
  <dcterms:modified xsi:type="dcterms:W3CDTF">2026-05-07T10:03:00Z</dcterms:modified>
</cp:coreProperties>
</file>